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会昌县正源建设有限责任公司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关于会昌县澄江治理工程林木采</w:t>
      </w:r>
      <w:bookmarkStart w:id="0" w:name="_GoBack"/>
      <w:bookmarkEnd w:id="0"/>
      <w:r>
        <w:rPr>
          <w:rFonts w:hint="eastAsia" w:ascii="方正小标宋简体" w:hAnsi="方正小标宋简体" w:eastAsia="方正小标宋简体" w:cs="方正小标宋简体"/>
          <w:b w:val="0"/>
          <w:bCs w:val="0"/>
          <w:sz w:val="44"/>
          <w:szCs w:val="44"/>
          <w:highlight w:val="none"/>
          <w:lang w:val="en-US" w:eastAsia="zh-CN"/>
        </w:rPr>
        <w:t>伐作业设计服务询价公告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会昌县澄江治理工程林木采伐作业设计服务采购，经我公司总经办会议研究，决定采用询价方式进行采购。欢迎符合资格要求的供应商踊跃报价。</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一、项目概况</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会昌县澄江治理工程位于澄江流域西江镇和小密乡境内，起点位于西江镇与瑞金市云石山乡交界处的莲石村大河陂，止于小密乡孕龙村兴荣水电站，涉及河段综合治理总长29.615km，其中涉及占用林地面积约16.53公顷（248亩）,以林业局最终核定的报批面积为准。根据有关规定，需开展该项目林木采伐作业设计并出具采伐作业设计说明书。</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二、服务内容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负责编制林木采伐作业设计书，向相关部门上报材料，协助采购人沟通相关部门，完成审批流程，最终获得相关政府部门批复的林木采伐许可。</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三、资格要求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（一）独立法人，具备</w:t>
      </w:r>
      <w:r>
        <w:rPr>
          <w:rFonts w:hint="eastAsia" w:ascii="仿宋_GB2312" w:hAnsi="仿宋_GB2312" w:eastAsia="仿宋_GB2312" w:cs="仿宋_GB2312"/>
          <w:sz w:val="32"/>
          <w:szCs w:val="32"/>
          <w:lang w:val="en-US" w:eastAsia="zh-CN"/>
        </w:rPr>
        <w:t>林木采伐作业设计</w:t>
      </w:r>
      <w:r>
        <w:rPr>
          <w:rFonts w:hint="eastAsia" w:ascii="仿宋_GB2312" w:hAnsi="仿宋_GB2312" w:eastAsia="仿宋_GB2312" w:cs="仿宋_GB2312"/>
          <w:sz w:val="32"/>
          <w:szCs w:val="32"/>
        </w:rPr>
        <w:t>能力的单位。</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（二）单位内部管理制度健全，在</w:t>
      </w:r>
      <w:r>
        <w:rPr>
          <w:rFonts w:hint="eastAsia" w:ascii="仿宋_GB2312" w:hAnsi="仿宋_GB2312" w:eastAsia="仿宋_GB2312" w:cs="仿宋_GB2312"/>
          <w:sz w:val="32"/>
          <w:szCs w:val="32"/>
          <w:lang w:eastAsia="zh-CN"/>
        </w:rPr>
        <w:t>江西省</w:t>
      </w:r>
      <w:r>
        <w:rPr>
          <w:rFonts w:hint="eastAsia" w:ascii="仿宋_GB2312" w:hAnsi="仿宋_GB2312" w:eastAsia="仿宋_GB2312" w:cs="仿宋_GB2312"/>
          <w:sz w:val="32"/>
          <w:szCs w:val="32"/>
        </w:rPr>
        <w:t>内有固定办公场所，具备专业技术的工作人员，且在我省有从事</w:t>
      </w:r>
      <w:r>
        <w:rPr>
          <w:rFonts w:hint="eastAsia" w:ascii="仿宋_GB2312" w:hAnsi="仿宋_GB2312" w:eastAsia="仿宋_GB2312" w:cs="仿宋_GB2312"/>
          <w:sz w:val="32"/>
          <w:szCs w:val="32"/>
          <w:lang w:val="en-US" w:eastAsia="zh-CN"/>
        </w:rPr>
        <w:t>林木采伐作业设计</w:t>
      </w:r>
      <w:r>
        <w:rPr>
          <w:rFonts w:hint="eastAsia" w:ascii="仿宋_GB2312" w:hAnsi="仿宋_GB2312" w:eastAsia="仿宋_GB2312" w:cs="仿宋_GB2312"/>
          <w:sz w:val="32"/>
          <w:szCs w:val="32"/>
        </w:rPr>
        <w:t>的经验和业绩，信誉良好。</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（三）近三年未被省、市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县自然资源和规划、林业部门进行不良通报。</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四、报价文件递交</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1、投标供应商应将报价文件密封并在密封处加盖公章；</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2、封装袋上注明报价人名称和联系方式；</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3、投标供应商应在规定时间前将报价文件递交到指定地点；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报价文件由（附件一）中的报价单、法人身份证复印件、公司营业执照复印件、从业资质证书复印件、业绩证明、委托书及被委托人身份证复印件，所有材料均须加盖公章，提供公司主要管理及其直系亲属未在会昌县恒茂建设发展集团有限责任公司（包括下属子公司）从业的承诺书（附件二）；</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5、递交响应文件时间：</w:t>
      </w:r>
      <w:r>
        <w:rPr>
          <w:rFonts w:hint="eastAsia" w:ascii="仿宋_GB2312" w:hAnsi="仿宋_GB2312" w:eastAsia="仿宋_GB2312" w:cs="仿宋_GB2312"/>
          <w:sz w:val="32"/>
          <w:szCs w:val="32"/>
        </w:rPr>
        <w:t>本公告发出之日起至</w:t>
      </w:r>
      <w:r>
        <w:rPr>
          <w:rFonts w:hint="eastAsia" w:ascii="仿宋_GB2312" w:hAnsi="仿宋_GB2312" w:eastAsia="仿宋_GB2312" w:cs="仿宋_GB2312"/>
          <w:sz w:val="32"/>
          <w:szCs w:val="32"/>
          <w:lang w:val="en-US" w:eastAsia="zh-CN"/>
        </w:rPr>
        <w:t>2024年10月25日17:00(北京时间)；</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6、递交响应文件地点：会昌县商会大厦九楼正源公司采砂部。</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五、其它补充事宜</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1、报价要求：本项目的报价以每立方米/元</w:t>
      </w:r>
      <w:r>
        <w:rPr>
          <w:rFonts w:hint="eastAsia" w:ascii="仿宋_GB2312" w:hAnsi="仿宋_GB2312" w:eastAsia="仿宋_GB2312" w:cs="仿宋_GB2312"/>
          <w:sz w:val="32"/>
          <w:szCs w:val="32"/>
          <w:lang w:val="zh-CN" w:eastAsia="zh-CN"/>
        </w:rPr>
        <w:t>的形式报价，占用林地面积以</w:t>
      </w:r>
      <w:r>
        <w:rPr>
          <w:rFonts w:hint="eastAsia" w:ascii="仿宋_GB2312" w:hAnsi="仿宋_GB2312" w:eastAsia="仿宋_GB2312" w:cs="仿宋_GB2312"/>
          <w:sz w:val="32"/>
          <w:szCs w:val="32"/>
          <w:lang w:val="en-US" w:eastAsia="zh-CN"/>
        </w:rPr>
        <w:t>林业局最终核定的报批面积为准。</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成果提交时间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签订合同且甲方提供项目审批所需基础资料后后30日内提交成果。</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3、报价币种：人民币。</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4、投标供应商必须认真阅读询价公告内容（包括补遗内容），并满足投标项目要求技术与服务要求。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5、成交原则：采购单位根据符合采购要求、</w:t>
      </w:r>
      <w:r>
        <w:rPr>
          <w:rFonts w:hint="eastAsia" w:ascii="仿宋_GB2312" w:hAnsi="仿宋_GB2312" w:eastAsia="仿宋_GB2312" w:cs="仿宋_GB2312"/>
          <w:sz w:val="32"/>
          <w:szCs w:val="32"/>
        </w:rPr>
        <w:t>经验和业绩</w:t>
      </w:r>
      <w:r>
        <w:rPr>
          <w:rFonts w:hint="eastAsia" w:ascii="仿宋_GB2312" w:hAnsi="仿宋_GB2312" w:eastAsia="仿宋_GB2312" w:cs="仿宋_GB2312"/>
          <w:sz w:val="32"/>
          <w:szCs w:val="32"/>
          <w:lang w:val="en-US" w:eastAsia="zh-CN"/>
        </w:rPr>
        <w:t>相等且报价最低的原则确定成交供应商，原则上响应供应商不低于三家；如果出现两个以上相同最低报价的，则由采购人随机抽取方式确定一个投标人获得中标人资格。</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6、联系方式：</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   址：会昌县商会大厦九楼</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联 系 人：刘先生</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联系电话：18607977969</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会昌县正源建设有限责任公司  </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2024年10月23日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报价函</w:t>
      </w:r>
    </w:p>
    <w:p>
      <w:pPr>
        <w:numPr>
          <w:ilvl w:val="0"/>
          <w:numId w:val="0"/>
        </w:numPr>
        <w:spacing w:line="560" w:lineRule="exact"/>
        <w:ind w:firstLine="640" w:firstLineChars="200"/>
        <w:rPr>
          <w:rFonts w:ascii="Times New Roman" w:hAnsi="Times New Roman"/>
          <w:color w:val="000000"/>
          <w:kern w:val="0"/>
          <w:sz w:val="32"/>
          <w:szCs w:val="32"/>
        </w:rPr>
      </w:pPr>
      <w:r>
        <w:rPr>
          <w:rFonts w:hint="eastAsia" w:ascii="Times New Roman" w:hAnsi="Times New Roman" w:eastAsia="黑体"/>
          <w:color w:val="000000"/>
          <w:kern w:val="0"/>
          <w:sz w:val="32"/>
          <w:szCs w:val="32"/>
          <w:lang w:eastAsia="zh-CN"/>
        </w:rPr>
        <w:t>一、</w:t>
      </w:r>
      <w:r>
        <w:rPr>
          <w:rFonts w:ascii="Times New Roman" w:hAnsi="Times New Roman" w:eastAsia="黑体"/>
          <w:color w:val="000000"/>
          <w:kern w:val="0"/>
          <w:sz w:val="32"/>
          <w:szCs w:val="32"/>
        </w:rPr>
        <w:t>报价表</w:t>
      </w:r>
      <w:r>
        <w:rPr>
          <w:rFonts w:hint="eastAsia" w:ascii="Times New Roman" w:hAnsi="Times New Roman" w:eastAsia="黑体"/>
          <w:color w:val="000000"/>
          <w:kern w:val="0"/>
          <w:sz w:val="32"/>
          <w:szCs w:val="32"/>
        </w:rPr>
        <w:t>：</w:t>
      </w:r>
      <w:r>
        <w:rPr>
          <w:rFonts w:ascii="Times New Roman" w:hAnsi="Times New Roman" w:eastAsia="黑体"/>
          <w:color w:val="000000"/>
          <w:kern w:val="0"/>
          <w:sz w:val="32"/>
          <w:szCs w:val="32"/>
        </w:rPr>
        <w:t>   </w:t>
      </w:r>
      <w:r>
        <w:rPr>
          <w:rFonts w:ascii="Times New Roman" w:hAnsi="Times New Roman"/>
          <w:color w:val="000000"/>
          <w:kern w:val="0"/>
          <w:sz w:val="32"/>
          <w:szCs w:val="32"/>
        </w:rPr>
        <w:t>                            </w:t>
      </w:r>
    </w:p>
    <w:tbl>
      <w:tblPr>
        <w:tblStyle w:val="7"/>
        <w:tblW w:w="911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36"/>
        <w:gridCol w:w="3899"/>
        <w:gridCol w:w="2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236" w:type="dxa"/>
            <w:noWrap w:val="0"/>
            <w:vAlign w:val="center"/>
          </w:tcPr>
          <w:p>
            <w:pPr>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名称</w:t>
            </w:r>
          </w:p>
        </w:tc>
        <w:tc>
          <w:tcPr>
            <w:tcW w:w="3899" w:type="dxa"/>
            <w:noWrap w:val="0"/>
            <w:vAlign w:val="center"/>
          </w:tcPr>
          <w:p>
            <w:pPr>
              <w:spacing w:line="300" w:lineRule="exact"/>
              <w:jc w:val="center"/>
              <w:rPr>
                <w:rFonts w:hint="eastAsia" w:ascii="宋体" w:hAnsi="宋体" w:cs="宋体" w:eastAsiaTheme="minorEastAsia"/>
                <w:b/>
                <w:color w:val="000000"/>
                <w:kern w:val="0"/>
                <w:sz w:val="24"/>
                <w:szCs w:val="24"/>
                <w:lang w:eastAsia="zh-CN"/>
              </w:rPr>
            </w:pPr>
            <w:r>
              <w:rPr>
                <w:rFonts w:hint="eastAsia" w:ascii="宋体" w:hAnsi="宋体" w:cs="宋体"/>
                <w:b/>
                <w:color w:val="000000"/>
                <w:kern w:val="0"/>
                <w:sz w:val="24"/>
                <w:szCs w:val="24"/>
                <w:lang w:eastAsia="zh-CN"/>
              </w:rPr>
              <w:t>报价金额（元</w:t>
            </w:r>
            <w:r>
              <w:rPr>
                <w:rFonts w:hint="eastAsia" w:ascii="宋体" w:hAnsi="宋体" w:cs="宋体"/>
                <w:b/>
                <w:color w:val="000000"/>
                <w:kern w:val="0"/>
                <w:sz w:val="24"/>
                <w:szCs w:val="24"/>
                <w:lang w:val="en-US" w:eastAsia="zh-CN"/>
              </w:rPr>
              <w:t>/立方米</w:t>
            </w:r>
            <w:r>
              <w:rPr>
                <w:rFonts w:hint="eastAsia" w:ascii="宋体" w:hAnsi="宋体" w:cs="宋体"/>
                <w:b/>
                <w:color w:val="000000"/>
                <w:kern w:val="0"/>
                <w:sz w:val="24"/>
                <w:szCs w:val="24"/>
                <w:lang w:eastAsia="zh-CN"/>
              </w:rPr>
              <w:t>）</w:t>
            </w:r>
          </w:p>
        </w:tc>
        <w:tc>
          <w:tcPr>
            <w:tcW w:w="2981" w:type="dxa"/>
            <w:noWrap w:val="0"/>
            <w:vAlign w:val="center"/>
          </w:tcPr>
          <w:p>
            <w:pPr>
              <w:spacing w:line="300" w:lineRule="exact"/>
              <w:jc w:val="center"/>
              <w:rPr>
                <w:rFonts w:hint="eastAsia" w:ascii="宋体" w:hAnsi="宋体" w:cs="宋体" w:eastAsiaTheme="minorEastAsia"/>
                <w:b/>
                <w:color w:val="000000"/>
                <w:kern w:val="0"/>
                <w:sz w:val="24"/>
                <w:szCs w:val="24"/>
                <w:lang w:eastAsia="zh-CN"/>
              </w:rPr>
            </w:pPr>
            <w:r>
              <w:rPr>
                <w:rFonts w:hint="eastAsia" w:ascii="宋体" w:hAnsi="宋体" w:cs="宋体"/>
                <w:b/>
                <w:color w:val="000000"/>
                <w:kern w:val="0"/>
                <w:sz w:val="24"/>
                <w:szCs w:val="24"/>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75" w:hRule="atLeast"/>
          <w:jc w:val="center"/>
        </w:trPr>
        <w:tc>
          <w:tcPr>
            <w:tcW w:w="2236" w:type="dxa"/>
            <w:noWrap w:val="0"/>
            <w:vAlign w:val="center"/>
          </w:tcPr>
          <w:p>
            <w:pPr>
              <w:spacing w:line="300" w:lineRule="exact"/>
              <w:jc w:val="center"/>
              <w:rPr>
                <w:rFonts w:ascii="宋体" w:hAnsi="宋体" w:cs="宋体"/>
                <w:bCs/>
                <w:color w:val="000000"/>
                <w:kern w:val="0"/>
                <w:sz w:val="24"/>
                <w:szCs w:val="24"/>
              </w:rPr>
            </w:pPr>
            <w:r>
              <w:rPr>
                <w:rFonts w:hint="eastAsia" w:ascii="仿宋_GB2312" w:hAnsi="仿宋_GB2312" w:eastAsia="仿宋_GB2312" w:cs="仿宋_GB2312"/>
                <w:sz w:val="28"/>
                <w:szCs w:val="28"/>
                <w:lang w:val="en-US" w:eastAsia="zh-CN"/>
              </w:rPr>
              <w:t>会昌县澄江治理工程</w:t>
            </w:r>
            <w:r>
              <w:rPr>
                <w:rFonts w:hint="eastAsia" w:ascii="仿宋_GB2312" w:hAnsi="仿宋_GB2312" w:eastAsia="仿宋_GB2312" w:cs="仿宋_GB2312"/>
                <w:sz w:val="32"/>
                <w:szCs w:val="32"/>
                <w:lang w:val="en-US" w:eastAsia="zh-CN"/>
              </w:rPr>
              <w:t>林木采伐作业设计</w:t>
            </w:r>
            <w:r>
              <w:rPr>
                <w:rFonts w:hint="eastAsia" w:ascii="仿宋_GB2312" w:hAnsi="仿宋_GB2312" w:eastAsia="仿宋_GB2312" w:cs="仿宋_GB2312"/>
                <w:sz w:val="28"/>
                <w:szCs w:val="28"/>
                <w:lang w:val="en-US" w:eastAsia="zh-CN"/>
              </w:rPr>
              <w:t>服务</w:t>
            </w:r>
          </w:p>
        </w:tc>
        <w:tc>
          <w:tcPr>
            <w:tcW w:w="3899" w:type="dxa"/>
            <w:noWrap w:val="0"/>
            <w:vAlign w:val="center"/>
          </w:tcPr>
          <w:p>
            <w:pPr>
              <w:spacing w:line="300" w:lineRule="exact"/>
              <w:jc w:val="center"/>
              <w:rPr>
                <w:rFonts w:ascii="宋体" w:hAnsi="宋体" w:cs="宋体"/>
                <w:bCs/>
                <w:color w:val="000000"/>
                <w:kern w:val="0"/>
                <w:sz w:val="24"/>
                <w:szCs w:val="24"/>
              </w:rPr>
            </w:pPr>
          </w:p>
        </w:tc>
        <w:tc>
          <w:tcPr>
            <w:tcW w:w="2981" w:type="dxa"/>
            <w:noWrap w:val="0"/>
            <w:vAlign w:val="center"/>
          </w:tcPr>
          <w:p>
            <w:pPr>
              <w:spacing w:line="300" w:lineRule="exact"/>
              <w:jc w:val="center"/>
              <w:rPr>
                <w:rFonts w:ascii="宋体" w:hAnsi="宋体" w:cs="宋体"/>
                <w:bCs/>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236" w:type="dxa"/>
            <w:noWrap w:val="0"/>
            <w:vAlign w:val="center"/>
          </w:tcPr>
          <w:p>
            <w:pPr>
              <w:spacing w:line="300" w:lineRule="exact"/>
              <w:jc w:val="center"/>
              <w:rPr>
                <w:rFonts w:ascii="宋体" w:hAnsi="宋体" w:cs="宋体"/>
                <w:bCs/>
                <w:color w:val="000000"/>
                <w:kern w:val="0"/>
                <w:sz w:val="24"/>
                <w:szCs w:val="24"/>
              </w:rPr>
            </w:pPr>
          </w:p>
        </w:tc>
        <w:tc>
          <w:tcPr>
            <w:tcW w:w="3899" w:type="dxa"/>
            <w:noWrap w:val="0"/>
            <w:vAlign w:val="center"/>
          </w:tcPr>
          <w:p>
            <w:pPr>
              <w:spacing w:line="300" w:lineRule="exact"/>
              <w:jc w:val="center"/>
              <w:rPr>
                <w:rFonts w:ascii="宋体" w:hAnsi="宋体" w:cs="宋体"/>
                <w:bCs/>
                <w:color w:val="000000"/>
                <w:kern w:val="0"/>
                <w:sz w:val="24"/>
                <w:szCs w:val="24"/>
              </w:rPr>
            </w:pPr>
          </w:p>
        </w:tc>
        <w:tc>
          <w:tcPr>
            <w:tcW w:w="2981" w:type="dxa"/>
            <w:noWrap w:val="0"/>
            <w:vAlign w:val="center"/>
          </w:tcPr>
          <w:p>
            <w:pPr>
              <w:spacing w:line="300" w:lineRule="exact"/>
              <w:jc w:val="center"/>
              <w:rPr>
                <w:rFonts w:ascii="宋体" w:hAnsi="宋体" w:cs="宋体"/>
                <w:bCs/>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236" w:type="dxa"/>
            <w:noWrap w:val="0"/>
            <w:vAlign w:val="center"/>
          </w:tcPr>
          <w:p>
            <w:pPr>
              <w:spacing w:line="300" w:lineRule="exact"/>
              <w:jc w:val="center"/>
              <w:rPr>
                <w:rFonts w:ascii="宋体" w:hAnsi="宋体" w:cs="宋体"/>
                <w:bCs/>
                <w:color w:val="000000"/>
                <w:kern w:val="0"/>
                <w:sz w:val="24"/>
                <w:szCs w:val="24"/>
              </w:rPr>
            </w:pPr>
          </w:p>
        </w:tc>
        <w:tc>
          <w:tcPr>
            <w:tcW w:w="3899" w:type="dxa"/>
            <w:noWrap w:val="0"/>
            <w:vAlign w:val="center"/>
          </w:tcPr>
          <w:p>
            <w:pPr>
              <w:spacing w:line="300" w:lineRule="exact"/>
              <w:jc w:val="center"/>
              <w:rPr>
                <w:rFonts w:ascii="宋体" w:hAnsi="宋体" w:cs="宋体"/>
                <w:bCs/>
                <w:color w:val="000000"/>
                <w:kern w:val="0"/>
                <w:sz w:val="24"/>
                <w:szCs w:val="24"/>
              </w:rPr>
            </w:pPr>
          </w:p>
        </w:tc>
        <w:tc>
          <w:tcPr>
            <w:tcW w:w="2981" w:type="dxa"/>
            <w:noWrap w:val="0"/>
            <w:vAlign w:val="center"/>
          </w:tcPr>
          <w:p>
            <w:pPr>
              <w:spacing w:line="300" w:lineRule="exact"/>
              <w:jc w:val="center"/>
              <w:rPr>
                <w:rFonts w:ascii="宋体" w:hAnsi="宋体" w:cs="宋体"/>
                <w:bCs/>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6135" w:type="dxa"/>
            <w:gridSpan w:val="2"/>
            <w:noWrap w:val="0"/>
            <w:vAlign w:val="center"/>
          </w:tcPr>
          <w:p>
            <w:pPr>
              <w:spacing w:line="300" w:lineRule="exact"/>
              <w:rPr>
                <w:rFonts w:ascii="宋体" w:hAnsi="宋体" w:cs="宋体"/>
                <w:bCs/>
                <w:color w:val="000000"/>
                <w:kern w:val="0"/>
                <w:sz w:val="24"/>
                <w:szCs w:val="24"/>
              </w:rPr>
            </w:pPr>
            <w:r>
              <w:rPr>
                <w:rFonts w:hint="eastAsia" w:ascii="宋体" w:hAnsi="宋体" w:cs="宋体"/>
                <w:bCs/>
                <w:color w:val="000000"/>
                <w:kern w:val="0"/>
                <w:sz w:val="24"/>
                <w:szCs w:val="24"/>
              </w:rPr>
              <w:t>合计（大写）：人民币                元整</w:t>
            </w:r>
          </w:p>
        </w:tc>
        <w:tc>
          <w:tcPr>
            <w:tcW w:w="2981" w:type="dxa"/>
            <w:noWrap w:val="0"/>
            <w:vAlign w:val="center"/>
          </w:tcPr>
          <w:p>
            <w:pPr>
              <w:spacing w:line="300" w:lineRule="exact"/>
              <w:rPr>
                <w:rFonts w:ascii="宋体" w:hAnsi="宋体" w:cs="宋体"/>
                <w:bCs/>
                <w:color w:val="000000"/>
                <w:kern w:val="0"/>
                <w:sz w:val="24"/>
                <w:szCs w:val="24"/>
              </w:rPr>
            </w:pPr>
            <w:r>
              <w:rPr>
                <w:rFonts w:hint="eastAsia" w:ascii="宋体" w:hAnsi="宋体" w:cs="宋体"/>
                <w:bCs/>
                <w:color w:val="000000"/>
                <w:kern w:val="0"/>
                <w:sz w:val="24"/>
                <w:szCs w:val="24"/>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116" w:type="dxa"/>
            <w:gridSpan w:val="3"/>
            <w:noWrap w:val="0"/>
            <w:vAlign w:val="center"/>
          </w:tcPr>
          <w:p>
            <w:pPr>
              <w:spacing w:line="300" w:lineRule="exact"/>
              <w:rPr>
                <w:rFonts w:ascii="宋体" w:hAnsi="宋体" w:cs="宋体"/>
                <w:bCs/>
                <w:color w:val="000000"/>
                <w:kern w:val="0"/>
                <w:sz w:val="24"/>
                <w:szCs w:val="24"/>
              </w:rPr>
            </w:pPr>
            <w:r>
              <w:rPr>
                <w:rFonts w:hint="eastAsia" w:ascii="宋体" w:hAnsi="宋体" w:cs="宋体"/>
                <w:bCs/>
                <w:color w:val="000000"/>
                <w:kern w:val="0"/>
                <w:sz w:val="24"/>
                <w:szCs w:val="24"/>
              </w:rPr>
              <w:t>特别说明：</w:t>
            </w:r>
            <w:r>
              <w:rPr>
                <w:rFonts w:hint="eastAsia" w:ascii="仿宋_GB2312" w:hAnsi="仿宋_GB2312" w:eastAsia="仿宋_GB2312" w:cs="仿宋_GB2312"/>
                <w:i w:val="0"/>
                <w:iCs w:val="0"/>
                <w:color w:val="000000"/>
                <w:sz w:val="28"/>
                <w:szCs w:val="28"/>
                <w:u w:val="none"/>
                <w:lang w:val="en-US" w:eastAsia="zh-CN"/>
              </w:rPr>
              <w:t>以上报价   %增值税发票。</w:t>
            </w:r>
          </w:p>
        </w:tc>
      </w:tr>
    </w:tbl>
    <w:p>
      <w:pPr>
        <w:spacing w:after="156" w:line="400" w:lineRule="exact"/>
        <w:jc w:val="left"/>
        <w:rPr>
          <w:rFonts w:ascii="Times New Roman" w:hAnsi="Times New Roman" w:eastAsia="黑体"/>
          <w:color w:val="000000"/>
          <w:kern w:val="0"/>
          <w:sz w:val="24"/>
          <w:szCs w:val="24"/>
        </w:rPr>
      </w:pPr>
    </w:p>
    <w:p>
      <w:pPr>
        <w:spacing w:line="560" w:lineRule="exact"/>
        <w:ind w:firstLine="640" w:firstLineChars="200"/>
        <w:rPr>
          <w:rFonts w:ascii="仿宋_GB2312" w:hAnsi="仿宋_GB2312" w:eastAsia="仿宋_GB2312" w:cs="仿宋_GB2312"/>
          <w:color w:val="000000"/>
          <w:kern w:val="0"/>
          <w:sz w:val="32"/>
          <w:szCs w:val="32"/>
          <w:u w:val="single"/>
        </w:rPr>
      </w:pPr>
      <w:r>
        <w:rPr>
          <w:rFonts w:hint="eastAsia" w:ascii="黑体" w:hAnsi="黑体" w:eastAsia="黑体" w:cs="黑体"/>
          <w:color w:val="000000"/>
          <w:kern w:val="0"/>
          <w:sz w:val="32"/>
          <w:szCs w:val="32"/>
        </w:rPr>
        <w:t>二、成果提交时间：</w:t>
      </w:r>
      <w:r>
        <w:rPr>
          <w:rFonts w:hint="eastAsia" w:ascii="仿宋_GB2312" w:hAnsi="仿宋_GB2312" w:eastAsia="仿宋_GB2312" w:cs="仿宋_GB2312"/>
          <w:color w:val="000000"/>
          <w:kern w:val="0"/>
          <w:sz w:val="32"/>
          <w:szCs w:val="32"/>
          <w:u w:val="single"/>
        </w:rPr>
        <w:t>                </w:t>
      </w:r>
      <w:r>
        <w:rPr>
          <w:rFonts w:hint="eastAsia" w:ascii="仿宋_GB2312" w:hAnsi="仿宋_GB2312" w:eastAsia="仿宋_GB2312" w:cs="仿宋_GB2312"/>
          <w:color w:val="000000"/>
          <w:kern w:val="0"/>
          <w:sz w:val="32"/>
          <w:szCs w:val="32"/>
        </w:rPr>
        <w:t>。</w:t>
      </w:r>
    </w:p>
    <w:p>
      <w:pPr>
        <w:topLinePunct/>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三、质量保证承诺：</w:t>
      </w:r>
      <w:r>
        <w:rPr>
          <w:rFonts w:eastAsia="黑体" w:cs="Calibri"/>
          <w:color w:val="000000"/>
          <w:kern w:val="0"/>
          <w:sz w:val="32"/>
          <w:szCs w:val="32"/>
        </w:rPr>
        <w:t>                   </w:t>
      </w:r>
      <w:r>
        <w:rPr>
          <w:rFonts w:hint="eastAsia" w:ascii="黑体" w:hAnsi="黑体" w:eastAsia="黑体" w:cs="黑体"/>
          <w:color w:val="000000"/>
          <w:kern w:val="0"/>
          <w:sz w:val="32"/>
          <w:szCs w:val="32"/>
        </w:rPr>
        <w:t>。</w:t>
      </w:r>
      <w:r>
        <w:rPr>
          <w:rFonts w:hint="eastAsia" w:ascii="仿宋" w:hAnsi="仿宋" w:eastAsia="仿宋" w:cs="黑体"/>
          <w:color w:val="000000"/>
          <w:kern w:val="0"/>
          <w:sz w:val="32"/>
          <w:szCs w:val="32"/>
        </w:rPr>
        <w:t>（可以写在背面）</w:t>
      </w:r>
    </w:p>
    <w:p>
      <w:pPr>
        <w:spacing w:line="560" w:lineRule="exact"/>
        <w:ind w:firstLine="640" w:firstLineChars="200"/>
        <w:rPr>
          <w:rFonts w:hint="eastAsia" w:ascii="黑体" w:hAnsi="黑体" w:eastAsia="黑体" w:cs="黑体"/>
          <w:color w:val="000000"/>
          <w:kern w:val="0"/>
          <w:sz w:val="32"/>
          <w:szCs w:val="32"/>
        </w:rPr>
      </w:pPr>
    </w:p>
    <w:p>
      <w:pPr>
        <w:spacing w:line="560" w:lineRule="exact"/>
        <w:ind w:firstLine="640" w:firstLineChars="200"/>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四、售后服务承诺：</w:t>
      </w:r>
      <w:r>
        <w:rPr>
          <w:rFonts w:eastAsia="黑体" w:cs="Calibri"/>
          <w:color w:val="000000"/>
          <w:kern w:val="0"/>
          <w:sz w:val="32"/>
          <w:szCs w:val="32"/>
        </w:rPr>
        <w:t>                 </w:t>
      </w:r>
      <w:r>
        <w:rPr>
          <w:rFonts w:hint="eastAsia" w:ascii="黑体" w:hAnsi="黑体" w:eastAsia="黑体" w:cs="黑体"/>
          <w:color w:val="000000"/>
          <w:kern w:val="0"/>
          <w:sz w:val="32"/>
          <w:szCs w:val="32"/>
        </w:rPr>
        <w:t xml:space="preserve"> 。</w:t>
      </w:r>
      <w:r>
        <w:rPr>
          <w:rFonts w:hint="eastAsia" w:ascii="仿宋_GB2312" w:hAnsi="仿宋_GB2312" w:eastAsia="仿宋_GB2312" w:cs="仿宋_GB2312"/>
          <w:color w:val="000000"/>
          <w:kern w:val="0"/>
          <w:sz w:val="32"/>
          <w:szCs w:val="32"/>
        </w:rPr>
        <w:t>（可以写在背面）</w:t>
      </w:r>
    </w:p>
    <w:p>
      <w:pPr>
        <w:pStyle w:val="2"/>
        <w:ind w:left="0" w:leftChars="0" w:firstLine="0" w:firstLineChars="0"/>
      </w:pPr>
    </w:p>
    <w:p>
      <w:pPr>
        <w:topLinePunct/>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五、联系方式：</w:t>
      </w:r>
    </w:p>
    <w:p>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报价单位名称：（盖章）             </w:t>
      </w:r>
    </w:p>
    <w:p>
      <w:pPr>
        <w:spacing w:line="560" w:lineRule="exact"/>
        <w:ind w:firstLine="640" w:firstLineChars="200"/>
        <w:rPr>
          <w:rFonts w:ascii="仿宋_GB2312" w:hAnsi="仿宋_GB2312" w:eastAsia="仿宋_GB2312" w:cs="仿宋_GB2312"/>
          <w:color w:val="000000"/>
          <w:kern w:val="0"/>
          <w:sz w:val="32"/>
          <w:szCs w:val="32"/>
        </w:rPr>
      </w:pPr>
    </w:p>
    <w:p>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联系人：                 电话：</w:t>
      </w:r>
    </w:p>
    <w:p>
      <w:pPr>
        <w:spacing w:line="560" w:lineRule="exact"/>
        <w:ind w:firstLine="320" w:firstLineChars="100"/>
        <w:rPr>
          <w:rFonts w:ascii="仿宋_GB2312" w:hAnsi="仿宋_GB2312" w:eastAsia="仿宋_GB2312" w:cs="仿宋_GB2312"/>
          <w:color w:val="000000"/>
          <w:kern w:val="0"/>
          <w:sz w:val="32"/>
          <w:szCs w:val="32"/>
        </w:rPr>
      </w:pP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地址：                                  </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附件2：</w:t>
      </w:r>
    </w:p>
    <w:p>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承诺书</w:t>
      </w:r>
    </w:p>
    <w:p>
      <w:pPr>
        <w:keepNext w:val="0"/>
        <w:keepLines w:val="0"/>
        <w:pageBreakBefore w:val="0"/>
        <w:widowControl w:val="0"/>
        <w:kinsoku/>
        <w:wordWrap/>
        <w:overflowPunct/>
        <w:topLinePunct w:val="0"/>
        <w:autoSpaceDE/>
        <w:autoSpaceDN/>
        <w:bidi w:val="0"/>
        <w:adjustRightInd/>
        <w:snapToGrid/>
        <w:ind w:firstLine="723" w:firstLineChars="200"/>
        <w:jc w:val="center"/>
        <w:textAlignment w:val="auto"/>
        <w:rPr>
          <w:rFonts w:hint="eastAsia" w:ascii="仿宋_GB2312" w:hAnsi="仿宋_GB2312" w:eastAsia="仿宋_GB2312" w:cs="仿宋_GB2312"/>
          <w:b/>
          <w:bCs/>
          <w:sz w:val="36"/>
          <w:szCs w:val="44"/>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特此承诺。</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我公司对本承诺的真实性负责，并承担相应法律责任。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单位/个人：（签章）</w:t>
      </w: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年    月   日</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172A27"/>
    <w:rsid w:val="02474C73"/>
    <w:rsid w:val="07031895"/>
    <w:rsid w:val="089777A5"/>
    <w:rsid w:val="08E56427"/>
    <w:rsid w:val="0C34090D"/>
    <w:rsid w:val="0C3C5A14"/>
    <w:rsid w:val="1312622D"/>
    <w:rsid w:val="15166431"/>
    <w:rsid w:val="15621A1B"/>
    <w:rsid w:val="17E442A1"/>
    <w:rsid w:val="183A4916"/>
    <w:rsid w:val="1A8E5556"/>
    <w:rsid w:val="1C2F41BD"/>
    <w:rsid w:val="1CC134BA"/>
    <w:rsid w:val="1E824F04"/>
    <w:rsid w:val="2423692F"/>
    <w:rsid w:val="249C1A12"/>
    <w:rsid w:val="259A122A"/>
    <w:rsid w:val="2BC64B2E"/>
    <w:rsid w:val="2CFF220C"/>
    <w:rsid w:val="2E552D98"/>
    <w:rsid w:val="2E763873"/>
    <w:rsid w:val="36B0290A"/>
    <w:rsid w:val="38E12CFB"/>
    <w:rsid w:val="3ABB4982"/>
    <w:rsid w:val="42A5722F"/>
    <w:rsid w:val="43343392"/>
    <w:rsid w:val="440928A9"/>
    <w:rsid w:val="457203AC"/>
    <w:rsid w:val="49FD0ECB"/>
    <w:rsid w:val="4E361196"/>
    <w:rsid w:val="50FE08DA"/>
    <w:rsid w:val="59696314"/>
    <w:rsid w:val="597D5031"/>
    <w:rsid w:val="5B20020B"/>
    <w:rsid w:val="5B2C37F4"/>
    <w:rsid w:val="616B0025"/>
    <w:rsid w:val="625978FB"/>
    <w:rsid w:val="66FA09B7"/>
    <w:rsid w:val="671501B7"/>
    <w:rsid w:val="67DA540E"/>
    <w:rsid w:val="681A4A5C"/>
    <w:rsid w:val="6A5F5EBC"/>
    <w:rsid w:val="6D6D2BA1"/>
    <w:rsid w:val="6DF047B2"/>
    <w:rsid w:val="6FE94E01"/>
    <w:rsid w:val="726A16B0"/>
    <w:rsid w:val="73913443"/>
    <w:rsid w:val="76612FD4"/>
    <w:rsid w:val="775C4F0A"/>
    <w:rsid w:val="77C83101"/>
    <w:rsid w:val="782028E8"/>
    <w:rsid w:val="7AAB01F0"/>
    <w:rsid w:val="7DEB5AB4"/>
    <w:rsid w:val="7EE1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qFormat/>
    <w:uiPriority w:val="2"/>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nhideWhenUsed/>
    <w:qFormat/>
    <w:uiPriority w:val="0"/>
    <w:pPr>
      <w:tabs>
        <w:tab w:val="left" w:pos="900"/>
        <w:tab w:val="left" w:pos="1080"/>
        <w:tab w:val="left" w:pos="1620"/>
      </w:tabs>
      <w:ind w:firstLine="420"/>
    </w:pPr>
  </w:style>
  <w:style w:type="paragraph" w:styleId="3">
    <w:name w:val="Body Text Indent"/>
    <w:basedOn w:val="1"/>
    <w:qFormat/>
    <w:uiPriority w:val="0"/>
    <w:pPr>
      <w:tabs>
        <w:tab w:val="left" w:pos="900"/>
        <w:tab w:val="left" w:pos="1080"/>
        <w:tab w:val="left" w:pos="1620"/>
      </w:tabs>
      <w:spacing w:line="590" w:lineRule="exact"/>
      <w:ind w:firstLine="640"/>
    </w:pPr>
    <w:rPr>
      <w:rFonts w:eastAsia="方正仿宋简体"/>
      <w:szCs w:val="2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1249</Words>
  <Characters>1328</Characters>
  <Lines>0</Lines>
  <Paragraphs>0</Paragraphs>
  <TotalTime>0</TotalTime>
  <ScaleCrop>false</ScaleCrop>
  <LinksUpToDate>false</LinksUpToDate>
  <CharactersWithSpaces>1341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2024-07-12T01:05:00Z</dcterms:created>
  <dc:creator>Administrator</dc:creator>
  <cp:lastModifiedBy>WPS</cp:lastModifiedBy>
  <cp:lastPrinted>2024-07-12T01:22:00Z</cp:lastPrinted>
  <dcterms:modified xsi:type="dcterms:W3CDTF">2024-10-22T09:00:48Z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59D10A6361214055ACB78723E0255563_13</vt:lpwstr>
  </property>
</Properties>
</file>