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资质证书、安全生产许可证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545EB542">
      <w:pPr>
        <w:rPr>
          <w:rFonts w:hint="eastAsia" w:ascii="仿宋" w:hAnsi="仿宋" w:eastAsia="仿宋" w:cs="仿宋"/>
        </w:rPr>
      </w:pPr>
    </w:p>
    <w:p w14:paraId="507CF625">
      <w:pPr>
        <w:rPr>
          <w:rFonts w:hint="eastAsia" w:ascii="仿宋" w:hAnsi="仿宋" w:eastAsia="仿宋" w:cs="仿宋"/>
        </w:rPr>
      </w:pPr>
    </w:p>
    <w:p w14:paraId="6BC5BAD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528251789"/>
      <w:bookmarkStart w:id="6" w:name="_Toc138837744"/>
      <w:bookmarkStart w:id="7" w:name="_Toc474135236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33A0D324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聚喧建筑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2DC43D4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A4989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6F441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7BA364D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B893B6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DC2F8A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AF2AC32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3B8EBBCE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0A3A869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D2833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427CA3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A3FA00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A4D2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4AA8C6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57126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E7725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4AEABA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A35F7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0679A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05064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C7348E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544EB3AD">
      <w:pPr>
        <w:rPr>
          <w:rFonts w:hint="eastAsia" w:ascii="仿宋" w:hAnsi="仿宋" w:eastAsia="仿宋" w:cs="仿宋"/>
          <w:lang w:val="en-US" w:eastAsia="zh-CN"/>
        </w:rPr>
      </w:pPr>
    </w:p>
    <w:p w14:paraId="1F4C6A19">
      <w:pPr>
        <w:rPr>
          <w:rFonts w:hint="eastAsia" w:ascii="仿宋" w:hAnsi="仿宋" w:eastAsia="仿宋" w:cs="仿宋"/>
          <w:lang w:val="en-US" w:eastAsia="zh-CN"/>
        </w:rPr>
      </w:pPr>
    </w:p>
    <w:p w14:paraId="5608B6E0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7DFEED4">
      <w:pPr>
        <w:pStyle w:val="2"/>
        <w:bidi w:val="0"/>
        <w:jc w:val="center"/>
        <w:rPr>
          <w:rFonts w:hint="eastAsia" w:ascii="宋体" w:hAnsi="宋体" w:eastAsia="宋体" w:cs="宋体"/>
          <w:szCs w:val="28"/>
          <w:lang w:val="en-US" w:eastAsia="zh-CN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8037830</wp:posOffset>
                </wp:positionH>
                <wp:positionV relativeFrom="paragraph">
                  <wp:posOffset>45085</wp:posOffset>
                </wp:positionV>
                <wp:extent cx="1083945" cy="236855"/>
                <wp:effectExtent l="0" t="0" r="0" b="0"/>
                <wp:wrapNone/>
                <wp:docPr id="108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45" cy="236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14646E"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2.9pt;margin-top:3.55pt;height:18.65pt;width:85.35pt;z-index:251659264;mso-width-relative:page;mso-height-relative:page;" filled="f" stroked="f" coordsize="21600,21600" o:gfxdata="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rFy6PZAAAACgEAAA8AAAAAAAAAAQAgAAAAIgAAAGRycy9kb3ducmV2LnhtbFBL&#10;AQIUABQAAAAIAIdO4kB25C9GvAEAAHY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14646E"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报价表</w:t>
      </w:r>
    </w:p>
    <w:p w14:paraId="49119256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2265"/>
        <w:gridCol w:w="1821"/>
        <w:gridCol w:w="2067"/>
      </w:tblGrid>
      <w:tr w14:paraId="05D5C4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7FD9C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BA687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A3028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7E8C8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5C61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E2CD65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0026D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99B36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D6F4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C22F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6E99E0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6C0F13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D7BB2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会昌县珠兰乡红九广场出入口建设工程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劳务分包工程</w:t>
            </w:r>
            <w:bookmarkStart w:id="9" w:name="_GoBack"/>
            <w:bookmarkEnd w:id="9"/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F3A6C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568143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226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1A574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以县财政最终审计结算并按规定下浮后，再下浮不少于10%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84F309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6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BBC553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</w:p>
        </w:tc>
      </w:tr>
      <w:tr w14:paraId="5AF30D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760455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C5A3C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EA2B45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46CA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0E598056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</w:p>
    <w:p w14:paraId="3A5D9200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  联系方式：</w:t>
      </w:r>
    </w:p>
    <w:p w14:paraId="051941DC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644CAD2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1CFF582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</w:rPr>
        <w:t>响</w:t>
      </w:r>
      <w:r>
        <w:rPr>
          <w:rFonts w:hint="eastAsia" w:ascii="仿宋_GB2312" w:hAnsi="宋体" w:cs="宋体" w:eastAsiaTheme="minorEastAsia"/>
          <w:kern w:val="0"/>
          <w:sz w:val="28"/>
          <w:szCs w:val="28"/>
          <w:lang w:val="en-US" w:eastAsia="zh-CN" w:bidi="ar-SA"/>
        </w:rPr>
        <w:t>应下浮率不得低于控制价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（报价仅接受小数点后1位）</w:t>
      </w:r>
    </w:p>
    <w:p w14:paraId="460E50C8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560" w:firstLineChars="200"/>
        <w:jc w:val="left"/>
        <w:textAlignment w:val="auto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各供应商提供的报价须包含运输费、卸车费、税费、人工费等，我公司不再另行支付其他费用。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B8335A6"/>
    <w:multiLevelType w:val="singleLevel"/>
    <w:tmpl w:val="6B8335A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66510CD"/>
    <w:rsid w:val="20E30F43"/>
    <w:rsid w:val="29805E09"/>
    <w:rsid w:val="2D96292F"/>
    <w:rsid w:val="2EC90453"/>
    <w:rsid w:val="3C16369A"/>
    <w:rsid w:val="44AB770F"/>
    <w:rsid w:val="4C194668"/>
    <w:rsid w:val="56BC24F1"/>
    <w:rsid w:val="5BFD7F2A"/>
    <w:rsid w:val="5D24341A"/>
    <w:rsid w:val="5E2856A3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880</Words>
  <Characters>920</Characters>
  <Lines>0</Lines>
  <Paragraphs>0</Paragraphs>
  <TotalTime>0</TotalTime>
  <ScaleCrop>false</ScaleCrop>
  <LinksUpToDate>false</LinksUpToDate>
  <CharactersWithSpaces>1183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2024-10-12T09:11:06Z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86DF636C3E534AA5814ABA9B8CB16C72_11</vt:lpwstr>
  </property>
</Properties>
</file>