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B4E5A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65EAC92E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安全生产许可证</w:t>
      </w:r>
    </w:p>
    <w:p w14:paraId="50DA7779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46358FE0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2379192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CBEB77C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E691ACF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832A27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82641EA">
      <w:pPr>
        <w:rPr>
          <w:rFonts w:hint="eastAsia" w:ascii="仿宋" w:hAnsi="仿宋" w:eastAsia="仿宋" w:cs="仿宋"/>
        </w:rPr>
      </w:pPr>
    </w:p>
    <w:p w14:paraId="54E289DE">
      <w:pPr>
        <w:rPr>
          <w:rFonts w:hint="eastAsia" w:ascii="仿宋" w:hAnsi="仿宋" w:eastAsia="仿宋" w:cs="仿宋"/>
        </w:rPr>
      </w:pPr>
    </w:p>
    <w:p w14:paraId="5D29A53D">
      <w:pPr>
        <w:rPr>
          <w:rFonts w:hint="eastAsia" w:ascii="仿宋" w:hAnsi="仿宋" w:eastAsia="仿宋" w:cs="仿宋"/>
        </w:rPr>
      </w:pPr>
    </w:p>
    <w:p w14:paraId="0758A52E">
      <w:pPr>
        <w:jc w:val="center"/>
        <w:rPr>
          <w:rFonts w:hint="eastAsia" w:ascii="仿宋" w:hAnsi="仿宋" w:eastAsia="仿宋" w:cs="仿宋"/>
        </w:rPr>
      </w:pPr>
    </w:p>
    <w:p w14:paraId="6DBA71EA">
      <w:pPr>
        <w:jc w:val="center"/>
        <w:rPr>
          <w:rFonts w:hint="eastAsia" w:ascii="仿宋" w:hAnsi="仿宋" w:eastAsia="仿宋" w:cs="仿宋"/>
        </w:rPr>
      </w:pPr>
    </w:p>
    <w:p w14:paraId="7E5B9ECD">
      <w:pPr>
        <w:jc w:val="center"/>
        <w:rPr>
          <w:rFonts w:hint="eastAsia" w:ascii="仿宋" w:hAnsi="仿宋" w:eastAsia="仿宋" w:cs="仿宋"/>
        </w:rPr>
      </w:pPr>
    </w:p>
    <w:p w14:paraId="41BC3894">
      <w:pPr>
        <w:jc w:val="center"/>
        <w:rPr>
          <w:rFonts w:hint="eastAsia" w:ascii="仿宋" w:hAnsi="仿宋" w:eastAsia="仿宋" w:cs="仿宋"/>
        </w:rPr>
      </w:pPr>
    </w:p>
    <w:p w14:paraId="1C7BD2BA">
      <w:pPr>
        <w:jc w:val="center"/>
        <w:rPr>
          <w:rFonts w:hint="eastAsia" w:ascii="仿宋" w:hAnsi="仿宋" w:eastAsia="仿宋" w:cs="仿宋"/>
        </w:rPr>
      </w:pPr>
    </w:p>
    <w:p w14:paraId="25C9389A">
      <w:pPr>
        <w:jc w:val="center"/>
        <w:rPr>
          <w:rFonts w:hint="eastAsia" w:ascii="仿宋" w:hAnsi="仿宋" w:eastAsia="仿宋" w:cs="仿宋"/>
        </w:rPr>
      </w:pPr>
    </w:p>
    <w:p w14:paraId="56F10C0B">
      <w:pPr>
        <w:jc w:val="both"/>
        <w:rPr>
          <w:rFonts w:hint="eastAsia" w:ascii="仿宋" w:hAnsi="仿宋" w:eastAsia="仿宋" w:cs="仿宋"/>
        </w:rPr>
      </w:pPr>
    </w:p>
    <w:p w14:paraId="28283DF2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179F81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644CB0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5C1D7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294060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657EA1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821D00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831DA2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B79CAE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613F8A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C76801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A3054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E147FE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B3EA47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ECE07C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57E024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26515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DCCA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E548A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B43DB4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4AE5BB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725F2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D2E753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BECC9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B71CED3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</w:rPr>
      </w:pPr>
    </w:p>
    <w:p w14:paraId="0CDB493F">
      <w:pPr>
        <w:pStyle w:val="4"/>
        <w:spacing w:line="560" w:lineRule="exact"/>
        <w:jc w:val="center"/>
        <w:rPr>
          <w:rFonts w:hint="eastAsia" w:ascii="仿宋" w:hAnsi="仿宋" w:eastAsia="仿宋" w:cs="仿宋"/>
          <w:sz w:val="28"/>
          <w:szCs w:val="28"/>
        </w:rPr>
      </w:pPr>
      <w:bookmarkStart w:id="0" w:name="_Toc114046039"/>
      <w:bookmarkStart w:id="1" w:name="_Toc138837752"/>
      <w:bookmarkStart w:id="2" w:name="_Toc106888376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5BE42768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4BD63AD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鑫昌建设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工程有限公司</w:t>
      </w:r>
    </w:p>
    <w:p w14:paraId="4B450A7F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75C3ACB6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2767DC83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0E41D8FE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769C1C8B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0D7DD33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7CD0DA4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64299DFD">
      <w:pPr>
        <w:spacing w:line="560" w:lineRule="exact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0B37D493">
      <w:pPr>
        <w:rPr>
          <w:rFonts w:hint="eastAsia" w:ascii="仿宋" w:hAnsi="仿宋" w:eastAsia="仿宋" w:cs="仿宋"/>
        </w:rPr>
      </w:pPr>
    </w:p>
    <w:p w14:paraId="720E8ED0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68E56666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226DE7F8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鑫昌建设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工程有限公司</w:t>
      </w:r>
    </w:p>
    <w:p w14:paraId="14F0D62D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10D91A8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A94ECE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297004CE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45A7566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0DA802A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1856D9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4E7FF27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631A993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2C8474F6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7725AF88">
      <w:pPr>
        <w:rPr>
          <w:rFonts w:hint="eastAsia" w:ascii="仿宋" w:hAnsi="仿宋" w:eastAsia="仿宋" w:cs="仿宋"/>
        </w:rPr>
      </w:pPr>
    </w:p>
    <w:p w14:paraId="586D6778">
      <w:pPr>
        <w:pStyle w:val="4"/>
        <w:jc w:val="center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23337575"/>
      <w:bookmarkStart w:id="5" w:name="_Toc138837744"/>
      <w:bookmarkStart w:id="6" w:name="_Toc474135236"/>
      <w:bookmarkStart w:id="7" w:name="_Toc528251789"/>
      <w:bookmarkStart w:id="8" w:name="_Toc469749018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4E248CC1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鑫昌建设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工程有限公司</w:t>
      </w:r>
    </w:p>
    <w:p w14:paraId="0F1DEAB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1A8F81B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18157A7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377DFAA2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0B20ABB8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741A4A0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B706419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042EF590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BB9E8E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2C2D571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A3959B5">
      <w:pPr>
        <w:spacing w:line="500" w:lineRule="exact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  <w:bookmarkStart w:id="9" w:name="_GoBack"/>
      <w:bookmarkEnd w:id="9"/>
    </w:p>
    <w:p w14:paraId="4E300534">
      <w:pPr>
        <w:numPr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</w:p>
    <w:p w14:paraId="3C0803B8">
      <w:pPr>
        <w:spacing w:line="480" w:lineRule="exact"/>
        <w:ind w:firstLine="562" w:firstLineChars="200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6：询价工程量清单 ：</w:t>
      </w:r>
    </w:p>
    <w:p w14:paraId="4CEB04E9">
      <w:pPr>
        <w:spacing w:line="480" w:lineRule="exact"/>
        <w:jc w:val="center"/>
        <w:rPr>
          <w:rFonts w:hint="eastAsia" w:ascii="黑体" w:hAnsi="黑体" w:eastAsia="黑体" w:cs="黑体"/>
          <w:bCs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Cs/>
          <w:sz w:val="36"/>
          <w:szCs w:val="36"/>
          <w:lang w:eastAsia="zh-CN"/>
        </w:rPr>
        <w:t>报价表</w:t>
      </w:r>
    </w:p>
    <w:tbl>
      <w:tblPr>
        <w:tblStyle w:val="6"/>
        <w:tblW w:w="465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2092"/>
        <w:gridCol w:w="995"/>
        <w:gridCol w:w="1546"/>
        <w:gridCol w:w="1654"/>
        <w:gridCol w:w="1754"/>
        <w:gridCol w:w="1754"/>
        <w:gridCol w:w="1707"/>
      </w:tblGrid>
      <w:tr w14:paraId="0B1C9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pct"/>
            <w:noWrap w:val="0"/>
            <w:vAlign w:val="center"/>
          </w:tcPr>
          <w:p w14:paraId="090606E8">
            <w:pPr>
              <w:spacing w:line="480" w:lineRule="exact"/>
              <w:jc w:val="center"/>
              <w:rPr>
                <w:rFonts w:hint="default" w:ascii="黑体" w:hAnsi="黑体" w:eastAsia="黑体" w:cs="黑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  <w:lang w:val="en-US" w:eastAsia="zh-CN"/>
              </w:rPr>
              <w:t>工程名称</w:t>
            </w:r>
          </w:p>
        </w:tc>
        <w:tc>
          <w:tcPr>
            <w:tcW w:w="793" w:type="pct"/>
            <w:noWrap w:val="0"/>
            <w:vAlign w:val="center"/>
          </w:tcPr>
          <w:p w14:paraId="5D914FA6">
            <w:pPr>
              <w:spacing w:line="480" w:lineRule="exact"/>
              <w:jc w:val="center"/>
              <w:rPr>
                <w:rFonts w:hint="default" w:ascii="黑体" w:hAnsi="黑体" w:eastAsia="黑体" w:cs="黑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  <w:lang w:val="en-US" w:eastAsia="zh-CN"/>
              </w:rPr>
              <w:t>项目</w:t>
            </w:r>
          </w:p>
        </w:tc>
        <w:tc>
          <w:tcPr>
            <w:tcW w:w="377" w:type="pct"/>
            <w:noWrap w:val="0"/>
            <w:vAlign w:val="center"/>
          </w:tcPr>
          <w:p w14:paraId="2C481AB6">
            <w:pPr>
              <w:spacing w:line="480" w:lineRule="exact"/>
              <w:jc w:val="center"/>
              <w:rPr>
                <w:rFonts w:hint="default" w:ascii="黑体" w:hAnsi="黑体" w:eastAsia="黑体" w:cs="黑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586" w:type="pct"/>
            <w:noWrap w:val="0"/>
            <w:vAlign w:val="center"/>
          </w:tcPr>
          <w:p w14:paraId="4F86552E">
            <w:pPr>
              <w:spacing w:line="480" w:lineRule="exact"/>
              <w:jc w:val="center"/>
              <w:rPr>
                <w:rFonts w:hint="eastAsia" w:ascii="黑体" w:hAnsi="黑体" w:eastAsia="黑体" w:cs="黑体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  <w:lang w:val="en-US" w:eastAsia="zh-CN"/>
              </w:rPr>
              <w:t>管径</w:t>
            </w:r>
          </w:p>
        </w:tc>
        <w:tc>
          <w:tcPr>
            <w:tcW w:w="627" w:type="pct"/>
            <w:noWrap w:val="0"/>
            <w:vAlign w:val="center"/>
          </w:tcPr>
          <w:p w14:paraId="480A8E58">
            <w:pPr>
              <w:spacing w:line="480" w:lineRule="exact"/>
              <w:jc w:val="center"/>
              <w:rPr>
                <w:rFonts w:hint="default" w:ascii="黑体" w:hAnsi="黑体" w:eastAsia="黑体" w:cs="黑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  <w:lang w:val="en-US" w:eastAsia="zh-CN"/>
              </w:rPr>
              <w:t>暂定数量</w:t>
            </w:r>
          </w:p>
        </w:tc>
        <w:tc>
          <w:tcPr>
            <w:tcW w:w="665" w:type="pct"/>
            <w:noWrap w:val="0"/>
            <w:vAlign w:val="center"/>
          </w:tcPr>
          <w:p w14:paraId="72375ED2">
            <w:pPr>
              <w:spacing w:line="480" w:lineRule="exact"/>
              <w:jc w:val="center"/>
              <w:rPr>
                <w:rFonts w:hint="default" w:ascii="黑体" w:hAnsi="黑体" w:eastAsia="黑体" w:cs="黑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  <w:lang w:val="en-US" w:eastAsia="zh-CN"/>
              </w:rPr>
              <w:t>单价（元）</w:t>
            </w:r>
          </w:p>
        </w:tc>
        <w:tc>
          <w:tcPr>
            <w:tcW w:w="665" w:type="pct"/>
            <w:noWrap w:val="0"/>
            <w:vAlign w:val="center"/>
          </w:tcPr>
          <w:p w14:paraId="550FBCCE">
            <w:pPr>
              <w:spacing w:line="480" w:lineRule="exact"/>
              <w:jc w:val="center"/>
              <w:rPr>
                <w:rFonts w:hint="eastAsia" w:ascii="黑体" w:hAnsi="黑体" w:eastAsia="黑体" w:cs="黑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  <w:lang w:val="en-US" w:eastAsia="zh-CN"/>
              </w:rPr>
              <w:t>金额（元）</w:t>
            </w:r>
          </w:p>
        </w:tc>
        <w:tc>
          <w:tcPr>
            <w:tcW w:w="643" w:type="pct"/>
            <w:noWrap w:val="0"/>
            <w:vAlign w:val="center"/>
          </w:tcPr>
          <w:p w14:paraId="097B4B89">
            <w:pPr>
              <w:spacing w:line="480" w:lineRule="exact"/>
              <w:jc w:val="center"/>
              <w:rPr>
                <w:rFonts w:hint="default" w:ascii="黑体" w:hAnsi="黑体" w:eastAsia="黑体" w:cs="黑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  <w:lang w:val="en-US" w:eastAsia="zh-CN"/>
              </w:rPr>
              <w:t>备注</w:t>
            </w:r>
          </w:p>
        </w:tc>
      </w:tr>
      <w:tr w14:paraId="7429D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640" w:type="pct"/>
            <w:vMerge w:val="restart"/>
            <w:noWrap w:val="0"/>
            <w:vAlign w:val="center"/>
          </w:tcPr>
          <w:p w14:paraId="1CFAFCCD">
            <w:pPr>
              <w:spacing w:line="480" w:lineRule="exact"/>
              <w:jc w:val="center"/>
              <w:rPr>
                <w:rFonts w:hint="default" w:ascii="黑体" w:hAnsi="黑体" w:eastAsia="黑体" w:cs="黑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  <w:t>会昌县城区市政道路</w:t>
            </w:r>
          </w:p>
        </w:tc>
        <w:tc>
          <w:tcPr>
            <w:tcW w:w="793" w:type="pct"/>
            <w:vMerge w:val="restart"/>
            <w:noWrap w:val="0"/>
            <w:vAlign w:val="center"/>
          </w:tcPr>
          <w:p w14:paraId="4E012773">
            <w:pPr>
              <w:spacing w:line="480" w:lineRule="exact"/>
              <w:jc w:val="center"/>
              <w:rPr>
                <w:rFonts w:hint="default" w:ascii="黑体" w:hAnsi="黑体" w:eastAsia="黑体" w:cs="黑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  <w:t>CCTV检测</w:t>
            </w:r>
          </w:p>
        </w:tc>
        <w:tc>
          <w:tcPr>
            <w:tcW w:w="377" w:type="pct"/>
            <w:vMerge w:val="restart"/>
            <w:noWrap w:val="0"/>
            <w:vAlign w:val="center"/>
          </w:tcPr>
          <w:p w14:paraId="403AEAF8">
            <w:pPr>
              <w:spacing w:line="480" w:lineRule="exact"/>
              <w:jc w:val="center"/>
              <w:rPr>
                <w:rFonts w:hint="default" w:ascii="黑体" w:hAnsi="黑体" w:eastAsia="黑体" w:cs="黑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  <w:t>米</w:t>
            </w:r>
          </w:p>
        </w:tc>
        <w:tc>
          <w:tcPr>
            <w:tcW w:w="586" w:type="pct"/>
            <w:noWrap w:val="0"/>
            <w:vAlign w:val="center"/>
          </w:tcPr>
          <w:p w14:paraId="02590F68">
            <w:pPr>
              <w:spacing w:line="480" w:lineRule="exact"/>
              <w:jc w:val="center"/>
              <w:rPr>
                <w:rFonts w:hint="default" w:ascii="黑体" w:hAnsi="黑体" w:eastAsia="黑体" w:cs="黑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  <w:t>300</w:t>
            </w:r>
          </w:p>
        </w:tc>
        <w:tc>
          <w:tcPr>
            <w:tcW w:w="627" w:type="pct"/>
            <w:noWrap w:val="0"/>
            <w:vAlign w:val="center"/>
          </w:tcPr>
          <w:p w14:paraId="3F120D9D">
            <w:pPr>
              <w:spacing w:line="480" w:lineRule="exact"/>
              <w:jc w:val="center"/>
              <w:rPr>
                <w:rFonts w:hint="default" w:ascii="黑体" w:hAnsi="黑体" w:eastAsia="黑体" w:cs="黑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  <w:t>3000</w:t>
            </w:r>
          </w:p>
        </w:tc>
        <w:tc>
          <w:tcPr>
            <w:tcW w:w="665" w:type="pct"/>
            <w:noWrap w:val="0"/>
            <w:vAlign w:val="center"/>
          </w:tcPr>
          <w:p w14:paraId="3FAC7A15">
            <w:pPr>
              <w:spacing w:line="480" w:lineRule="exact"/>
              <w:jc w:val="center"/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665" w:type="pct"/>
            <w:noWrap w:val="0"/>
            <w:vAlign w:val="center"/>
          </w:tcPr>
          <w:p w14:paraId="55287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643" w:type="pct"/>
            <w:vMerge w:val="restart"/>
            <w:noWrap w:val="0"/>
            <w:vAlign w:val="center"/>
          </w:tcPr>
          <w:p w14:paraId="7C386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  <w:t>符合施工要求标准</w:t>
            </w:r>
          </w:p>
        </w:tc>
      </w:tr>
      <w:tr w14:paraId="764A6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640" w:type="pct"/>
            <w:vMerge w:val="continue"/>
            <w:noWrap w:val="0"/>
            <w:vAlign w:val="center"/>
          </w:tcPr>
          <w:p w14:paraId="6D917760">
            <w:pPr>
              <w:spacing w:line="48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</w:tc>
        <w:tc>
          <w:tcPr>
            <w:tcW w:w="793" w:type="pct"/>
            <w:vMerge w:val="continue"/>
            <w:noWrap w:val="0"/>
            <w:vAlign w:val="center"/>
          </w:tcPr>
          <w:p w14:paraId="1AA982D0">
            <w:pPr>
              <w:spacing w:line="480" w:lineRule="exact"/>
              <w:jc w:val="center"/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377" w:type="pct"/>
            <w:vMerge w:val="continue"/>
            <w:noWrap w:val="0"/>
            <w:vAlign w:val="center"/>
          </w:tcPr>
          <w:p w14:paraId="14BDBF57">
            <w:pPr>
              <w:spacing w:line="480" w:lineRule="exact"/>
              <w:jc w:val="center"/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586" w:type="pct"/>
            <w:noWrap w:val="0"/>
            <w:vAlign w:val="center"/>
          </w:tcPr>
          <w:p w14:paraId="10CD8E65">
            <w:pPr>
              <w:spacing w:line="480" w:lineRule="exact"/>
              <w:jc w:val="center"/>
              <w:rPr>
                <w:rFonts w:hint="default" w:ascii="黑体" w:hAnsi="黑体" w:eastAsia="黑体" w:cs="黑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  <w:t>400</w:t>
            </w:r>
          </w:p>
        </w:tc>
        <w:tc>
          <w:tcPr>
            <w:tcW w:w="627" w:type="pct"/>
            <w:noWrap w:val="0"/>
            <w:vAlign w:val="center"/>
          </w:tcPr>
          <w:p w14:paraId="0078A282">
            <w:pPr>
              <w:spacing w:line="480" w:lineRule="exact"/>
              <w:jc w:val="center"/>
              <w:rPr>
                <w:rFonts w:hint="default" w:ascii="黑体" w:hAnsi="黑体" w:eastAsia="黑体" w:cs="黑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  <w:t>3000</w:t>
            </w:r>
          </w:p>
        </w:tc>
        <w:tc>
          <w:tcPr>
            <w:tcW w:w="665" w:type="pct"/>
            <w:noWrap w:val="0"/>
            <w:vAlign w:val="center"/>
          </w:tcPr>
          <w:p w14:paraId="39522405">
            <w:pPr>
              <w:spacing w:line="480" w:lineRule="exact"/>
              <w:jc w:val="center"/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665" w:type="pct"/>
            <w:noWrap w:val="0"/>
            <w:vAlign w:val="center"/>
          </w:tcPr>
          <w:p w14:paraId="051F5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643" w:type="pct"/>
            <w:vMerge w:val="continue"/>
            <w:noWrap w:val="0"/>
            <w:vAlign w:val="center"/>
          </w:tcPr>
          <w:p w14:paraId="687F2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</w:pPr>
          </w:p>
        </w:tc>
      </w:tr>
      <w:tr w14:paraId="43044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640" w:type="pct"/>
            <w:vMerge w:val="continue"/>
            <w:noWrap w:val="0"/>
            <w:vAlign w:val="center"/>
          </w:tcPr>
          <w:p w14:paraId="45CE080E">
            <w:pPr>
              <w:spacing w:line="48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</w:tc>
        <w:tc>
          <w:tcPr>
            <w:tcW w:w="793" w:type="pct"/>
            <w:vMerge w:val="restart"/>
            <w:noWrap w:val="0"/>
            <w:vAlign w:val="center"/>
          </w:tcPr>
          <w:p w14:paraId="53F1C954">
            <w:pPr>
              <w:spacing w:line="480" w:lineRule="exact"/>
              <w:jc w:val="center"/>
              <w:rPr>
                <w:rFonts w:hint="default" w:ascii="黑体" w:hAnsi="黑体" w:eastAsia="黑体" w:cs="黑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  <w:t>管道清淤</w:t>
            </w:r>
          </w:p>
        </w:tc>
        <w:tc>
          <w:tcPr>
            <w:tcW w:w="377" w:type="pct"/>
            <w:vMerge w:val="restart"/>
            <w:noWrap w:val="0"/>
            <w:vAlign w:val="center"/>
          </w:tcPr>
          <w:p w14:paraId="3CEB5E72">
            <w:pPr>
              <w:spacing w:line="480" w:lineRule="exact"/>
              <w:jc w:val="center"/>
              <w:rPr>
                <w:rFonts w:hint="default" w:ascii="黑体" w:hAnsi="黑体" w:eastAsia="黑体" w:cs="黑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  <w:t>米</w:t>
            </w:r>
          </w:p>
        </w:tc>
        <w:tc>
          <w:tcPr>
            <w:tcW w:w="586" w:type="pct"/>
            <w:shd w:val="clear" w:color="auto" w:fill="auto"/>
            <w:noWrap w:val="0"/>
            <w:vAlign w:val="center"/>
          </w:tcPr>
          <w:p w14:paraId="5B4662A2">
            <w:pPr>
              <w:spacing w:line="480" w:lineRule="exact"/>
              <w:jc w:val="center"/>
              <w:rPr>
                <w:rFonts w:hint="default" w:ascii="黑体" w:hAnsi="黑体" w:eastAsia="黑体" w:cs="黑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  <w:t>300</w:t>
            </w:r>
          </w:p>
        </w:tc>
        <w:tc>
          <w:tcPr>
            <w:tcW w:w="627" w:type="pct"/>
            <w:shd w:val="clear" w:color="auto" w:fill="auto"/>
            <w:noWrap w:val="0"/>
            <w:vAlign w:val="center"/>
          </w:tcPr>
          <w:p w14:paraId="5D0EABB8">
            <w:pPr>
              <w:spacing w:line="480" w:lineRule="exact"/>
              <w:jc w:val="center"/>
              <w:rPr>
                <w:rFonts w:hint="default" w:ascii="黑体" w:hAnsi="黑体" w:eastAsia="黑体" w:cs="黑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  <w:t>2000</w:t>
            </w:r>
          </w:p>
        </w:tc>
        <w:tc>
          <w:tcPr>
            <w:tcW w:w="665" w:type="pct"/>
            <w:noWrap w:val="0"/>
            <w:vAlign w:val="center"/>
          </w:tcPr>
          <w:p w14:paraId="06BF394B">
            <w:pPr>
              <w:spacing w:line="480" w:lineRule="exact"/>
              <w:jc w:val="center"/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665" w:type="pct"/>
            <w:noWrap w:val="0"/>
            <w:vAlign w:val="center"/>
          </w:tcPr>
          <w:p w14:paraId="367BA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643" w:type="pct"/>
            <w:vMerge w:val="restart"/>
            <w:noWrap w:val="0"/>
            <w:vAlign w:val="center"/>
          </w:tcPr>
          <w:p w14:paraId="5D73E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  <w:t>含管道清洗、疏通、排水、cctv检测</w:t>
            </w:r>
          </w:p>
        </w:tc>
      </w:tr>
      <w:tr w14:paraId="67257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640" w:type="pct"/>
            <w:vMerge w:val="continue"/>
            <w:noWrap w:val="0"/>
            <w:vAlign w:val="center"/>
          </w:tcPr>
          <w:p w14:paraId="24F0EFE7">
            <w:pPr>
              <w:spacing w:line="48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</w:tc>
        <w:tc>
          <w:tcPr>
            <w:tcW w:w="793" w:type="pct"/>
            <w:vMerge w:val="continue"/>
            <w:noWrap w:val="0"/>
            <w:vAlign w:val="center"/>
          </w:tcPr>
          <w:p w14:paraId="09E22094">
            <w:pPr>
              <w:spacing w:line="480" w:lineRule="exact"/>
              <w:jc w:val="center"/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377" w:type="pct"/>
            <w:vMerge w:val="continue"/>
            <w:noWrap w:val="0"/>
            <w:vAlign w:val="center"/>
          </w:tcPr>
          <w:p w14:paraId="271E378D">
            <w:pPr>
              <w:spacing w:line="480" w:lineRule="exact"/>
              <w:jc w:val="center"/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586" w:type="pct"/>
            <w:shd w:val="clear" w:color="auto" w:fill="auto"/>
            <w:noWrap w:val="0"/>
            <w:vAlign w:val="center"/>
          </w:tcPr>
          <w:p w14:paraId="735B3C50">
            <w:pPr>
              <w:spacing w:line="480" w:lineRule="exact"/>
              <w:jc w:val="center"/>
              <w:rPr>
                <w:rFonts w:hint="default" w:ascii="黑体" w:hAnsi="黑体" w:eastAsia="黑体" w:cs="黑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  <w:t>400</w:t>
            </w:r>
          </w:p>
        </w:tc>
        <w:tc>
          <w:tcPr>
            <w:tcW w:w="627" w:type="pct"/>
            <w:shd w:val="clear" w:color="auto" w:fill="auto"/>
            <w:noWrap w:val="0"/>
            <w:vAlign w:val="center"/>
          </w:tcPr>
          <w:p w14:paraId="11DF7459">
            <w:pPr>
              <w:spacing w:line="480" w:lineRule="exact"/>
              <w:jc w:val="center"/>
              <w:rPr>
                <w:rFonts w:hint="default" w:ascii="黑体" w:hAnsi="黑体" w:eastAsia="黑体" w:cs="黑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  <w:t>2000</w:t>
            </w:r>
          </w:p>
        </w:tc>
        <w:tc>
          <w:tcPr>
            <w:tcW w:w="665" w:type="pct"/>
            <w:noWrap w:val="0"/>
            <w:vAlign w:val="center"/>
          </w:tcPr>
          <w:p w14:paraId="3BDFFF71">
            <w:pPr>
              <w:spacing w:line="480" w:lineRule="exact"/>
              <w:jc w:val="center"/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665" w:type="pct"/>
            <w:noWrap w:val="0"/>
            <w:vAlign w:val="center"/>
          </w:tcPr>
          <w:p w14:paraId="6DE77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643" w:type="pct"/>
            <w:vMerge w:val="continue"/>
            <w:noWrap w:val="0"/>
            <w:vAlign w:val="center"/>
          </w:tcPr>
          <w:p w14:paraId="17D5A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</w:pPr>
          </w:p>
        </w:tc>
      </w:tr>
      <w:tr w14:paraId="2F163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5000" w:type="pct"/>
            <w:gridSpan w:val="8"/>
            <w:noWrap w:val="0"/>
            <w:vAlign w:val="center"/>
          </w:tcPr>
          <w:p w14:paraId="6E93B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Cs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1"/>
                <w:szCs w:val="21"/>
                <w:u w:val="none"/>
                <w:lang w:val="en-US" w:eastAsia="zh-CN"/>
              </w:rPr>
              <w:t>总 价</w:t>
            </w:r>
            <w:r>
              <w:rPr>
                <w:rFonts w:hint="eastAsia" w:ascii="黑体" w:hAnsi="黑体" w:eastAsia="黑体" w:cs="黑体"/>
                <w:bCs/>
                <w:sz w:val="21"/>
                <w:szCs w:val="21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黑体" w:hAnsi="黑体" w:eastAsia="黑体" w:cs="黑体"/>
                <w:bCs/>
                <w:sz w:val="21"/>
                <w:szCs w:val="21"/>
                <w:u w:val="none"/>
                <w:lang w:val="en-US" w:eastAsia="zh-CN"/>
              </w:rPr>
              <w:t>元，含</w:t>
            </w:r>
            <w:r>
              <w:rPr>
                <w:rFonts w:hint="eastAsia" w:ascii="黑体" w:hAnsi="黑体" w:eastAsia="黑体" w:cs="黑体"/>
                <w:bCs/>
                <w:sz w:val="21"/>
                <w:szCs w:val="21"/>
                <w:u w:val="single"/>
                <w:lang w:val="en-US" w:eastAsia="zh-CN"/>
              </w:rPr>
              <w:t xml:space="preserve">    % </w:t>
            </w:r>
            <w:r>
              <w:rPr>
                <w:rFonts w:hint="eastAsia" w:ascii="黑体" w:hAnsi="黑体" w:eastAsia="黑体" w:cs="黑体"/>
                <w:bCs/>
                <w:sz w:val="21"/>
                <w:szCs w:val="21"/>
                <w:u w:val="none"/>
                <w:lang w:val="en-US" w:eastAsia="zh-CN"/>
              </w:rPr>
              <w:t xml:space="preserve">增值税专用发票    </w:t>
            </w:r>
          </w:p>
        </w:tc>
      </w:tr>
    </w:tbl>
    <w:p w14:paraId="11ADC436">
      <w:pPr>
        <w:spacing w:line="480" w:lineRule="exact"/>
        <w:jc w:val="center"/>
        <w:rPr>
          <w:rFonts w:hint="eastAsia" w:ascii="黑体" w:hAnsi="黑体" w:eastAsia="黑体" w:cs="黑体"/>
          <w:bCs/>
          <w:sz w:val="36"/>
          <w:szCs w:val="36"/>
          <w:lang w:eastAsia="zh-CN"/>
        </w:rPr>
      </w:pPr>
    </w:p>
    <w:p w14:paraId="63789603">
      <w:pPr>
        <w:spacing w:line="480" w:lineRule="exac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楷体_GB2312" w:hAnsi="楷体_GB2312" w:eastAsia="黑体" w:cs="楷体_GB2312"/>
          <w:bCs/>
          <w:sz w:val="28"/>
          <w:szCs w:val="28"/>
          <w:lang w:val="en-US" w:eastAsia="zh-CN"/>
        </w:rPr>
        <w:t>以单价*</w:t>
      </w:r>
      <w:r>
        <w:rPr>
          <w:rFonts w:hint="eastAsia" w:ascii="楷体_GB2312" w:hAnsi="楷体_GB2312" w:eastAsia="黑体" w:cs="楷体_GB2312"/>
          <w:bCs/>
          <w:sz w:val="28"/>
          <w:szCs w:val="28"/>
          <w:lang w:eastAsia="zh-CN"/>
        </w:rPr>
        <w:t>实际工程量结算</w:t>
      </w:r>
    </w:p>
    <w:p w14:paraId="597CB223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380B00A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3851F334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CE24ADD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CE1562D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3BCF0524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mZTI4YjQ1OGUyOTQ0N2RiYTgyMzM1OWNkNjM2OTIifQ=="/>
  </w:docVars>
  <w:rsids>
    <w:rsidRoot w:val="2D96292F"/>
    <w:rsid w:val="06413050"/>
    <w:rsid w:val="1041133F"/>
    <w:rsid w:val="17A92623"/>
    <w:rsid w:val="20E30F43"/>
    <w:rsid w:val="296666C6"/>
    <w:rsid w:val="2D96292F"/>
    <w:rsid w:val="2EC90453"/>
    <w:rsid w:val="2F8172C2"/>
    <w:rsid w:val="35F8173C"/>
    <w:rsid w:val="3AAE76C8"/>
    <w:rsid w:val="3E7C6405"/>
    <w:rsid w:val="44AB770F"/>
    <w:rsid w:val="49CF37C6"/>
    <w:rsid w:val="5A64198B"/>
    <w:rsid w:val="5AAE0CFA"/>
    <w:rsid w:val="6E7A7AC6"/>
    <w:rsid w:val="72B5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31"/>
    <w:basedOn w:val="7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51"/>
    <w:basedOn w:val="7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11"/>
    <w:basedOn w:val="7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855</Words>
  <Characters>908</Characters>
  <Lines>0</Lines>
  <Paragraphs>0</Paragraphs>
  <TotalTime>11</TotalTime>
  <ScaleCrop>false</ScaleCrop>
  <LinksUpToDate>false</LinksUpToDate>
  <CharactersWithSpaces>1218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开拓者</cp:lastModifiedBy>
  <dcterms:modified xsi:type="dcterms:W3CDTF">2024-09-09T03:29:40Z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70035A50D3FA4F3DB2A734E96E56D70B_13</vt:lpwstr>
  </property>
</Properties>
</file>