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九二厂房工程项目招标变更</w:t>
      </w:r>
      <w:bookmarkStart w:id="1" w:name="_GoBack"/>
      <w:bookmarkEnd w:id="1"/>
      <w:r>
        <w:rPr>
          <w:rFonts w:hint="eastAsia"/>
          <w:b/>
          <w:bCs/>
          <w:sz w:val="44"/>
          <w:szCs w:val="52"/>
          <w:lang w:val="en-US" w:eastAsia="zh-CN"/>
        </w:rPr>
        <w:t>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9"/>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会昌县九二基地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防水保温工程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60日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2022年10月21日至2022年10月27日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w:t>
            </w:r>
            <w:r>
              <w:rPr>
                <w:rFonts w:hint="eastAsia" w:ascii="仿宋" w:hAnsi="仿宋" w:eastAsia="仿宋" w:cs="仿宋"/>
                <w:b w:val="0"/>
                <w:bCs w:val="0"/>
                <w:color w:val="FF0000"/>
                <w:sz w:val="32"/>
                <w:szCs w:val="32"/>
                <w:vertAlign w:val="baseline"/>
                <w:lang w:val="en-US" w:eastAsia="zh-CN"/>
              </w:rPr>
              <w:t>含增值税专票、包装、运输、保险、装卸、施工等</w:t>
            </w:r>
            <w:r>
              <w:rPr>
                <w:rFonts w:hint="eastAsia" w:ascii="仿宋" w:hAnsi="仿宋" w:eastAsia="仿宋" w:cs="仿宋"/>
                <w:b w:val="0"/>
                <w:bCs w:val="0"/>
                <w:sz w:val="32"/>
                <w:szCs w:val="32"/>
                <w:vertAlign w:val="baseline"/>
                <w:lang w:val="en-US" w:eastAsia="zh-CN"/>
              </w:rPr>
              <w:t>），结算以实际米数*单价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 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2022年10月28号9时30分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报价文件由报价表（参照附件格式）、法人身份证复印件、公司营业执照复印件，开户许可证复印件、委托书及被委托人身份证复印件、厂家质量保证承诺书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复印件都需加盖公章(鲜章）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报价必须密封，不满足以上要求投标文件无效</w:t>
      </w:r>
      <w:r>
        <w:rPr>
          <w:rFonts w:hint="eastAsia" w:ascii="仿宋_GB2312" w:hAnsi="仿宋_GB2312" w:eastAsia="仿宋_GB2312" w:cs="仿宋_GB2312"/>
          <w:b w:val="0"/>
          <w:bCs w:val="0"/>
          <w:sz w:val="32"/>
          <w:szCs w:val="32"/>
          <w:lang w:val="en-US" w:eastAsia="zh-CN"/>
        </w:rPr>
        <w:t>。</w:t>
      </w:r>
    </w:p>
    <w:p>
      <w:pPr>
        <w:pStyle w:val="7"/>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1.3、响应单位必须以公司参与报价，不得以个人响应，本工程需响应单位具备防水防腐保温工程专业承包二级及以上资质。</w:t>
      </w:r>
    </w:p>
    <w:p>
      <w:pPr>
        <w:pStyle w:val="7"/>
        <w:ind w:left="0" w:leftChars="0"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1.4、响应单位需提供与防水保温相关的施工业绩（相关施工合同）。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伍万</w:t>
      </w:r>
      <w:r>
        <w:rPr>
          <w:rFonts w:hint="eastAsia" w:ascii="仿宋_GB2312" w:hAnsi="仿宋_GB2312" w:eastAsia="仿宋_GB2312" w:cs="仿宋_GB2312"/>
          <w:b/>
          <w:bCs/>
          <w:sz w:val="32"/>
          <w:szCs w:val="32"/>
        </w:rPr>
        <w:t>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eastAsia="zh-CN"/>
        </w:rPr>
        <w:t>应提交</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中标价的金额为履约保证金，</w:t>
      </w:r>
      <w:r>
        <w:rPr>
          <w:rFonts w:hint="eastAsia" w:ascii="仿宋_GB2312" w:hAnsi="仿宋_GB2312" w:eastAsia="仿宋_GB2312" w:cs="仿宋_GB2312"/>
          <w:sz w:val="32"/>
          <w:szCs w:val="32"/>
          <w:lang w:val="en-US" w:eastAsia="zh-CN"/>
        </w:rPr>
        <w:t>履约</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w:t>
      </w:r>
      <w:r>
        <w:rPr>
          <w:rFonts w:hint="eastAsia" w:ascii="仿宋_GB2312" w:hAnsi="仿宋_GB2312" w:eastAsia="仿宋_GB2312" w:cs="仿宋_GB2312"/>
          <w:sz w:val="32"/>
          <w:szCs w:val="32"/>
          <w:lang w:eastAsia="zh-CN"/>
        </w:rPr>
        <w:t>，履约保证金在项目完成</w:t>
      </w:r>
      <w:r>
        <w:rPr>
          <w:rFonts w:hint="eastAsia" w:ascii="仿宋_GB2312" w:hAnsi="仿宋_GB2312" w:eastAsia="仿宋_GB2312" w:cs="仿宋_GB2312"/>
          <w:sz w:val="32"/>
          <w:szCs w:val="32"/>
          <w:lang w:val="en-US" w:eastAsia="zh-CN"/>
        </w:rPr>
        <w:t>80%以上后，</w:t>
      </w:r>
      <w:r>
        <w:rPr>
          <w:rFonts w:hint="eastAsia" w:ascii="仿宋_GB2312" w:hAnsi="仿宋_GB2312" w:eastAsia="仿宋_GB2312" w:cs="仿宋_GB2312"/>
          <w:sz w:val="32"/>
          <w:szCs w:val="32"/>
        </w:rPr>
        <w:t>按来款渠道无息退还</w:t>
      </w:r>
      <w:r>
        <w:rPr>
          <w:rFonts w:hint="eastAsia" w:ascii="仿宋_GB2312" w:hAnsi="仿宋_GB2312" w:eastAsia="仿宋_GB2312" w:cs="仿宋_GB2312"/>
          <w:sz w:val="32"/>
          <w:szCs w:val="32"/>
          <w:lang w:eastAsia="zh-CN"/>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技术要求：</w:t>
      </w:r>
    </w:p>
    <w:p>
      <w:pPr>
        <w:numPr>
          <w:ilvl w:val="0"/>
          <w:numId w:val="0"/>
        </w:numPr>
        <w:ind w:leftChars="0" w:firstLine="482" w:firstLineChars="20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防水保温材料要求</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各种防水保温材料均要求有产品合格证、材料检验报告等。 </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各种防水保温材料进场后首先进行材料复试，复试合格后方准使用。 </w:t>
      </w:r>
    </w:p>
    <w:p>
      <w:pPr>
        <w:numPr>
          <w:ilvl w:val="0"/>
          <w:numId w:val="0"/>
        </w:numPr>
        <w:ind w:leftChars="0" w:firstLine="482" w:firstLineChars="20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防水队伍要求</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防水工程属于重点控制项目和特殊工种操作，防水操作人员必须持有有效的“上岗证”，上岗证要在监理处备案。施工过程中，监理、持备案文件检查防水施工队伍是否遵照执行，是否人证相符，以确保防水施工是由经过培训的专业熟练工人完成的。 </w:t>
      </w:r>
    </w:p>
    <w:p>
      <w:pPr>
        <w:numPr>
          <w:ilvl w:val="0"/>
          <w:numId w:val="0"/>
        </w:numPr>
        <w:ind w:leftChars="0" w:firstLine="482" w:firstLineChars="20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改性沥青防水卷材施工</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val="0"/>
          <w:bCs w:val="0"/>
          <w:sz w:val="24"/>
          <w:szCs w:val="24"/>
          <w:lang w:val="en-US" w:eastAsia="zh-CN"/>
        </w:rPr>
        <w:t>基层处理：</w:t>
      </w:r>
      <w:r>
        <w:rPr>
          <w:rFonts w:hint="eastAsia" w:ascii="仿宋_GB2312" w:hAnsi="仿宋_GB2312" w:eastAsia="仿宋_GB2312" w:cs="仿宋_GB2312"/>
          <w:sz w:val="24"/>
          <w:szCs w:val="24"/>
          <w:lang w:val="en-US" w:eastAsia="zh-CN"/>
        </w:rPr>
        <w:t>防水基层要求坚固、平顺、光滑、干净、干燥、无灰尘油污。 涂刷或喷专用基层处理剂。基层处理剂干燥后，粘贴SBS改性沥青卷材。按需要剪裁好卷材，撕起保护隔离纸，将卷材粘贴在基层上，用橡胶刮板或压辊将卷材下空气排出，并压实卷材。卷材搭接外边缘用专用密封涂料密封。节点部位须按规范及设计要求增设附加层。</w:t>
      </w:r>
    </w:p>
    <w:p>
      <w:pPr>
        <w:numPr>
          <w:ilvl w:val="0"/>
          <w:numId w:val="0"/>
        </w:numPr>
        <w:jc w:val="left"/>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工艺流程：</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基层清理→ 涂刷基层处理剂→ 附加层施工→ 卷材与基层表面涂胶→ 卷材铺贴→卷材收头粘结→卷材接头密封→蓄水试验→做保护层</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清理基层：施工防水层前将已验收合格的基层表面清扫干净。不得有浮尘、杂物等影响防水层质量的缺陷。</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涂刷基层处理剂：涂布底胶。大面积涂刷前，用油漆刷蘸底胶在阴阳角、管根、水落口等细部复杂部位均匀涂刷一遍底胶。然后用长把滚刷在大面积部位涂刷。涂刷底胶（相当于冷底子油）厚薄应一致，不得有漏刷、花白等现象。</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附加层施工：阴阳角、管根、水落口等部位必须先做附加层，可采用自粘性密封胶或涂膜、也可铺贴一层合成高分子防水卷材处理。应根据设计要求确定。</w:t>
      </w:r>
    </w:p>
    <w:p>
      <w:pPr>
        <w:numPr>
          <w:ilvl w:val="0"/>
          <w:numId w:val="0"/>
        </w:num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卷材与基层表面涂胶：（1）卷材表面涂胶：将卷材铺展在干净的基层上，用长把滚刷蘸胶滚涂均匀。应留出搭接部位不涂胶，边头部位空出100mm。涂刷胶粘剂厚度要均匀，不得有漏底或凝聚块类物质存在；卷材涂胶后10～20min 静置干燥，当指触不粘手时，用原卷材筒将刷胶面向外卷起来，卷时要端头平整，卷劲一致，直径不得一头大，一头小，并要防止卷人砂粒和杂物，保持洁净。（2） 基层表面涂胶：已涂底胶干燥后，在其表面涂刷CX-404 胶，用长把滚刷胶，不得在一处反复涂刷，防止粘起底胶或形成凝聚块，细部位置可用毛刷均匀涂刷，静置晾干即可铺贴卷材。</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卷材铺贴：卷材及基层已涂的胶基本干燥后（手触不粘，一般20min 左右），即可进行铺贴卷材施工。卷材的层数、厚度应符合设计要求。</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卷材应平行屋脊从檐口处往上铺贴，双向流水坡度卷材搭接应顺流水方向，长边及端头的搭接宽度，如空铺、点粘、条粘时，均为100mm：满粘法均为80mm，且端头接茬要错开250mm。（2）卷材应从流水坡度的下坡开始，按卷材规格弹出基准线铺贴，并使卷材的长向与流水坡向垂直。注意卷材配制应减少阴阳角处的接头。（3）铺贴平面与立面相连接的卷材，应由下向上进行，使卷材紧贴阴阳角，铺展时对卷材不可拉得过紧，且不得有皱折、空鼓等现象。（4）排气、压实，排气：每当铺完一卷卷材后，应立即用干净松软的长把滚刷从卷材的一端开始，朝卷材的横向顺序用力滚压一遍，以排除卷材粘结层间的空气。（5）卷材未端收头及封边嵌固：为了防止卷材未端剥落，造成渗水，卷材未端收头必须用聚氨酯嵌缝膏或其他密封材料封闭。当密封材料固化后，表面再涂刷一层聚氨酯防水涂料，然后压抹107 胶水泥砂浆压缝封闭。</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防水层蓄水试验：卷材防水层施工后，经隐蔽工程验收，确认做法符合设计要求，应做蓄水试验，确认不渗漏水，方可施工防水层保护层。</w:t>
      </w:r>
    </w:p>
    <w:p>
      <w:pPr>
        <w:numPr>
          <w:ilvl w:val="0"/>
          <w:numId w:val="0"/>
        </w:numPr>
        <w:ind w:leftChars="0" w:firstLine="480" w:firstLineChars="200"/>
        <w:jc w:val="left"/>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sz w:val="24"/>
          <w:szCs w:val="24"/>
          <w:lang w:val="en-US" w:eastAsia="zh-CN"/>
        </w:rPr>
        <w:t>保护层施工：在卷材铺贴完毕，经隐检、蓄水试验，确认无渗漏的情况下，进行细石混凝土保护层的施工；上人屋面根据设计要求进行块材施工。</w:t>
      </w:r>
    </w:p>
    <w:p>
      <w:pPr>
        <w:pStyle w:val="2"/>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保温施工</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基层处理：基层墙体必须坚实平整，无油污、脱模剂和杂物等妨碍粘结的附着物，空鼓、酥松部位用铲刀剔除；</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弹控制线、基准线：（1）根据建筑立面设计和外保温技术要求，在墙面上弹出水平、垂直控制线，以及伸缩缝、装饰条线等。（2）在建筑外墙阳角、阴角及其他必要处挂垂直基准线，每个楼层适当位置弹水平线，以控制岩棉板的垂直度和平整度；</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岩棉板粘贴：（1）胶黏剂在现场制备，按胶黏剂干混料：水=1:0.25～0.27的质量比在砂浆搅拌机中（先加水）搅拌3～5min，至均匀无块状，静置5～10min，在搅拌一次即可使用，并在2h内使用完毕，搅拌好的胶黏剂避免太阳直射，已凝结的胶黏剂不得在加水搅拌使用。（2）岩棉板自下而上沿水平方向横向铺贴，板缝自然靠紧，相邻板面平齐，上下排之间错开1/2板长，局部最小错缝不小于200mm。（3）布胶可采用点框法或者条框法，布胶部位宜与锚件设置位置相对应，与基层墙面的实际粘接面积不小于岩棉板面积的50%，板的侧面不得涂抹或沾有胶粘剂，板间缝隙不得大于2mm，板间高差不得大于1.5mm。（4）矿棉板粘贴后，用2m直尺进行压平操作，并检验其平整度，对有缺损与破坏处用抹面胶浆进行处理修整。所有穿过矿棉板的穿墙管线和构件，其出口部位用预压密封带密封。</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保护面层施工：（1）岩棉板保温层在施工1～2d之后，再进行护面层施工，施工前对岩棉抹面胶浆的抹灰面层做表面处理，用不锈钢刀刮涂薄层（厚1mm～1.5mm）抹面胶浆，并压入岩棉板的表层纤维中。（2）抹面胶浆的制备在现场按抹面胶浆干混料：水=1:0.27～0.29的质量比加水，用砂浆搅拌机搅拌均匀，搅拌时间为3～5min，搅拌后在2h之内用完。（3）抹面胶浆的抹灰在矿棉板抹灰面进行抹面处理后24h开始，第一层抹灰厚度1.5mm～2mm，并趁湿将内层网布压入，待胶浆稍干硬至可以触碰时，安装锚固件，安装后及时用抹面胶浆封堵锚固件塑料圆盘及其周边。</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锚固件安装：（1）锚固件在墙面上的设置点满足条件：墙面每平米不少于5.5个，高度在50m以上的墙面每平方米接近7个。（2）任何面积大于0.1m2的单块板设一个锚固件。外墙阳角、门窗洞口四周和檐口下均加密设置，在距离墙角100mm～150mm内的位置，已有锚固件的中间均加设一个。锚固件进入基层墙体的有效锚固长度不小于30mm，当基层墙体为加气混凝土制品时，其进入的有效锚固深度不得小于50mm。</w:t>
      </w:r>
    </w:p>
    <w:p>
      <w:pPr>
        <w:pStyle w:val="2"/>
        <w:rPr>
          <w:rFonts w:hint="eastAsia"/>
          <w:lang w:val="en-US" w:eastAsia="zh-CN"/>
        </w:rPr>
      </w:pPr>
    </w:p>
    <w:p>
      <w:pPr>
        <w:pStyle w:val="2"/>
        <w:rPr>
          <w:rFonts w:hint="eastAsia"/>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7"/>
        <w:ind w:left="0" w:leftChars="0" w:firstLine="0" w:firstLineChars="0"/>
        <w:jc w:val="center"/>
        <w:rPr>
          <w:rFonts w:hint="eastAsia" w:ascii="仿宋" w:hAnsi="仿宋" w:eastAsia="仿宋" w:cs="仿宋"/>
          <w:b/>
          <w:bCs/>
          <w:sz w:val="28"/>
          <w:szCs w:val="28"/>
          <w:lang w:val="en-US" w:eastAsia="zh-CN"/>
        </w:rPr>
      </w:pPr>
      <w:r>
        <w:rPr>
          <w:rFonts w:hint="eastAsia" w:ascii="黑体" w:hAnsi="黑体" w:eastAsia="黑体" w:cs="黑体"/>
          <w:b w:val="0"/>
          <w:bCs/>
          <w:sz w:val="36"/>
          <w:szCs w:val="36"/>
          <w:lang w:eastAsia="zh-CN"/>
        </w:rPr>
        <w:t>控制价</w:t>
      </w:r>
    </w:p>
    <w:tbl>
      <w:tblPr>
        <w:tblStyle w:val="8"/>
        <w:tblW w:w="91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40"/>
        <w:gridCol w:w="3352"/>
        <w:gridCol w:w="708"/>
        <w:gridCol w:w="1470"/>
        <w:gridCol w:w="822"/>
        <w:gridCol w:w="1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名称</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项目特征</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单位</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暂定工程量</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单价</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1440" w:type="dxa"/>
            <w:tcBorders>
              <w:top w:val="nil"/>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1"/>
                <w:szCs w:val="21"/>
                <w:vertAlign w:val="baseline"/>
                <w:lang w:val="en-US" w:eastAsia="zh-CN"/>
              </w:rPr>
              <w:t>平屋面（上人屋面）</w:t>
            </w:r>
          </w:p>
        </w:tc>
        <w:tc>
          <w:tcPr>
            <w:tcW w:w="3352" w:type="dxa"/>
            <w:tcBorders>
              <w:top w:val="nil"/>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3厚SBS改性沥青防水卷材</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2厚高聚物改性沥青防水涂料</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50mm厚挤塑聚苯板</w:t>
            </w:r>
          </w:p>
        </w:tc>
        <w:tc>
          <w:tcPr>
            <w:tcW w:w="708" w:type="dxa"/>
            <w:tcBorders>
              <w:top w:val="nil"/>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10547</w:t>
            </w:r>
          </w:p>
        </w:tc>
        <w:tc>
          <w:tcPr>
            <w:tcW w:w="82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103</w:t>
            </w:r>
          </w:p>
        </w:tc>
        <w:tc>
          <w:tcPr>
            <w:tcW w:w="1394"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1086341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地面涂膜防水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2厚聚氨酯防水涂膜一道</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9258</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29</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268482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雨棚防水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20厚1:2水泥砂浆(内掺5%防水剂)</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59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18</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墙面砂浆防水(防潮)</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20厚1:2水泥砂浆内加5%防水剂的墙身防潮层</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136</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18</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外墙变形缝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100</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12</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屋面变形缝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卷材封盖、干铺卷材一层、卷材一层(粘贴)、油膏条、附加卷材一层、泡沫板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88</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176</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15488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楼面变形缝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沥青砂浆、油膏、泡沫板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262</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34</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8908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轻钢屋面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3厚自粘性聚合物改性沥青防水卷材</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60厚岩棉保温隔热层</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1.2厚自粘性聚合物改性沥青防水卷材隔汽层</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7719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74</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571206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屋面卷材防水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1、附加防水层:3厚SBS改性沥青防水卷材</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33</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74</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2442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60厚岩棉保温隔热层</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7719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25</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192975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50mm厚挤塑聚苯板</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10547</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23</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242581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9186" w:type="dxa"/>
            <w:gridSpan w:val="6"/>
            <w:tcBorders>
              <w:top w:val="single" w:color="000000" w:sz="4" w:space="0"/>
              <w:left w:val="single" w:color="000000" w:sz="4" w:space="0"/>
              <w:bottom w:val="nil"/>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含3%增值税专票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779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总计</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tbl>
            <w:tblPr>
              <w:tblStyle w:val="8"/>
              <w:tblW w:w="222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0"/>
              <w:gridCol w:w="1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2393133</w:t>
                  </w:r>
                </w:p>
              </w:tc>
              <w:tc>
                <w:tcPr>
                  <w:tcW w:w="1110"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p>
              </w:tc>
            </w:tr>
          </w:tbl>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p>
        </w:tc>
      </w:tr>
    </w:tbl>
    <w:p>
      <w:pPr>
        <w:pStyle w:val="7"/>
        <w:ind w:left="0" w:leftChars="0" w:firstLine="0" w:firstLineChars="0"/>
        <w:jc w:val="center"/>
        <w:rPr>
          <w:rFonts w:hint="eastAsia" w:ascii="黑体" w:hAnsi="黑体" w:eastAsia="黑体" w:cs="黑体"/>
          <w:b w:val="0"/>
          <w:bCs/>
          <w:sz w:val="36"/>
          <w:szCs w:val="36"/>
          <w:lang w:val="en-US" w:eastAsia="zh-CN"/>
        </w:rPr>
      </w:pPr>
    </w:p>
    <w:p>
      <w:pPr>
        <w:pStyle w:val="7"/>
        <w:ind w:left="0" w:leftChars="0" w:firstLine="0" w:firstLineChars="0"/>
        <w:jc w:val="left"/>
        <w:rPr>
          <w:rFonts w:hint="eastAsia"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w:t>
      </w:r>
      <w:r>
        <w:rPr>
          <w:rFonts w:hint="eastAsia" w:eastAsiaTheme="minorEastAsia" w:cstheme="minorBidi"/>
          <w:kern w:val="2"/>
          <w:sz w:val="28"/>
          <w:szCs w:val="36"/>
          <w:lang w:val="en-US" w:eastAsia="zh-CN" w:bidi="ar-SA"/>
        </w:rPr>
        <w:t>施工、</w:t>
      </w:r>
      <w:r>
        <w:rPr>
          <w:rFonts w:hint="eastAsia" w:asciiTheme="minorHAnsi" w:hAnsiTheme="minorHAnsi" w:eastAsiaTheme="minorEastAsia" w:cstheme="minorBidi"/>
          <w:kern w:val="2"/>
          <w:sz w:val="28"/>
          <w:szCs w:val="36"/>
          <w:lang w:val="en-US" w:eastAsia="zh-CN" w:bidi="ar-SA"/>
        </w:rPr>
        <w:t>税费（税率为3%）等费用，进口部分还要包括关税、商检、手续费、运费等全部费用，并注明生产厂家及产地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rPr>
          <w:rFonts w:hint="eastAsia" w:eastAsiaTheme="minorEastAsia" w:cstheme="minorBidi"/>
          <w:kern w:val="2"/>
          <w:sz w:val="28"/>
          <w:szCs w:val="36"/>
          <w:lang w:val="en-US" w:eastAsia="zh-CN" w:bidi="ar-SA"/>
        </w:rPr>
      </w:pPr>
      <w:r>
        <w:rPr>
          <w:rFonts w:hint="eastAsia" w:eastAsiaTheme="minorEastAsia" w:cstheme="minorBidi"/>
          <w:kern w:val="2"/>
          <w:sz w:val="28"/>
          <w:szCs w:val="36"/>
          <w:lang w:val="en-US" w:eastAsia="zh-CN" w:bidi="ar-SA"/>
        </w:rPr>
        <w:br w:type="page"/>
      </w:r>
    </w:p>
    <w:p>
      <w:pPr>
        <w:pStyle w:val="7"/>
        <w:ind w:left="0" w:leftChars="0" w:firstLine="0" w:firstLineChars="0"/>
        <w:jc w:val="left"/>
        <w:rPr>
          <w:rFonts w:hint="eastAsia" w:eastAsiaTheme="minorEastAsia" w:cstheme="minorBidi"/>
          <w:kern w:val="2"/>
          <w:sz w:val="28"/>
          <w:szCs w:val="36"/>
          <w:lang w:val="en-US" w:eastAsia="zh-CN" w:bidi="ar-SA"/>
        </w:rPr>
      </w:pPr>
    </w:p>
    <w:p>
      <w:pPr>
        <w:widowControl/>
        <w:numPr>
          <w:ilvl w:val="0"/>
          <w:numId w:val="2"/>
        </w:numPr>
        <w:spacing w:line="500" w:lineRule="exact"/>
        <w:rPr>
          <w:rFonts w:ascii="宋体" w:hAnsi="宋体" w:cs="宋体"/>
          <w:b/>
          <w:color w:val="000000" w:themeColor="text1"/>
          <w:kern w:val="0"/>
          <w:sz w:val="36"/>
          <w:szCs w:val="36"/>
          <w14:textFill>
            <w14:solidFill>
              <w14:schemeClr w14:val="tx1"/>
            </w14:solidFill>
          </w14:textFill>
        </w:rPr>
      </w:pPr>
      <w:r>
        <w:rPr>
          <w:rFonts w:hint="eastAsia" w:ascii="宋体" w:hAnsi="宋体" w:cs="宋体"/>
          <w:b/>
          <w:color w:val="000000" w:themeColor="text1"/>
          <w:kern w:val="0"/>
          <w:sz w:val="36"/>
          <w:szCs w:val="36"/>
          <w14:textFill>
            <w14:solidFill>
              <w14:schemeClr w14:val="tx1"/>
            </w14:solidFill>
          </w14:textFill>
        </w:rPr>
        <w:t>报价单</w:t>
      </w:r>
    </w:p>
    <w:p>
      <w:pPr>
        <w:pStyle w:val="7"/>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8"/>
        <w:tblW w:w="91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40"/>
        <w:gridCol w:w="3352"/>
        <w:gridCol w:w="708"/>
        <w:gridCol w:w="1470"/>
        <w:gridCol w:w="822"/>
        <w:gridCol w:w="1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名称</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项目特征</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单位</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暂定工程量</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单价</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1440" w:type="dxa"/>
            <w:tcBorders>
              <w:top w:val="nil"/>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1"/>
                <w:szCs w:val="21"/>
                <w:vertAlign w:val="baseline"/>
                <w:lang w:val="en-US" w:eastAsia="zh-CN"/>
              </w:rPr>
              <w:t>平屋面（上人屋面）</w:t>
            </w:r>
          </w:p>
        </w:tc>
        <w:tc>
          <w:tcPr>
            <w:tcW w:w="3352" w:type="dxa"/>
            <w:tcBorders>
              <w:top w:val="nil"/>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3厚SBS改性沥青防水卷材</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2厚高聚物改性沥青防水涂料</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50mm厚挤塑聚苯板</w:t>
            </w:r>
          </w:p>
        </w:tc>
        <w:tc>
          <w:tcPr>
            <w:tcW w:w="708" w:type="dxa"/>
            <w:tcBorders>
              <w:top w:val="nil"/>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10547</w:t>
            </w:r>
          </w:p>
        </w:tc>
        <w:tc>
          <w:tcPr>
            <w:tcW w:w="82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地面涂膜防水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2厚聚氨酯防水涂膜一道</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9258</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雨棚防水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20厚1:2水泥砂浆(内掺5%防水剂)</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59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墙面砂浆防水(防潮)</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20厚1:2水泥砂浆内加5%防水剂的墙身防潮层</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136</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外墙变形缝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100</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屋面变形缝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卷材封盖、干铺卷材一层、卷材一层(粘贴)、油膏条、附加卷材一层、泡沫板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88</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楼面变形缝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沥青砂浆、油膏、泡沫板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262</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轻钢屋面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3厚自粘性聚合物改性沥青防水卷材</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60厚岩棉保温隔热层</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1.2厚自粘性聚合物改性沥青防水卷材隔汽层</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7719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屋面卷材防水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1、附加防水层:3厚SBS改性沥青防水卷材</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33</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60厚岩棉保温隔热层</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7719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50mm厚挤塑聚苯板</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10547</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9186" w:type="dxa"/>
            <w:gridSpan w:val="6"/>
            <w:tcBorders>
              <w:top w:val="single" w:color="000000" w:sz="4" w:space="0"/>
              <w:left w:val="single" w:color="000000" w:sz="4" w:space="0"/>
              <w:bottom w:val="nil"/>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含 %增值税专票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779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总计</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tbl>
            <w:tblPr>
              <w:tblStyle w:val="8"/>
              <w:tblW w:w="222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0"/>
              <w:gridCol w:w="1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p>
              </w:tc>
              <w:tc>
                <w:tcPr>
                  <w:tcW w:w="1110"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p>
              </w:tc>
            </w:tr>
          </w:tbl>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p>
        </w:tc>
      </w:tr>
    </w:tbl>
    <w:p>
      <w:pPr>
        <w:pStyle w:val="7"/>
        <w:ind w:left="0" w:leftChars="0" w:firstLine="0" w:firstLineChars="0"/>
        <w:jc w:val="left"/>
        <w:rPr>
          <w:rFonts w:hint="eastAsia" w:asciiTheme="minorHAnsi" w:hAnsiTheme="minorHAnsi"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w:t>
      </w:r>
      <w:r>
        <w:rPr>
          <w:rFonts w:hint="eastAsia" w:eastAsiaTheme="minorEastAsia" w:cstheme="minorBidi"/>
          <w:kern w:val="2"/>
          <w:sz w:val="28"/>
          <w:szCs w:val="36"/>
          <w:lang w:val="en-US" w:eastAsia="zh-CN" w:bidi="ar-SA"/>
        </w:rPr>
        <w:t>施工、</w:t>
      </w:r>
      <w:r>
        <w:rPr>
          <w:rFonts w:hint="eastAsia" w:asciiTheme="minorHAnsi" w:hAnsiTheme="minorHAnsi" w:eastAsiaTheme="minorEastAsia" w:cstheme="minorBidi"/>
          <w:kern w:val="2"/>
          <w:sz w:val="28"/>
          <w:szCs w:val="36"/>
          <w:lang w:val="en-US" w:eastAsia="zh-CN" w:bidi="ar-SA"/>
        </w:rPr>
        <w:t>税费（税率为</w:t>
      </w:r>
      <w:r>
        <w:rPr>
          <w:rFonts w:hint="eastAsia" w:eastAsiaTheme="minorEastAsia" w:cstheme="minorBidi"/>
          <w:kern w:val="2"/>
          <w:sz w:val="28"/>
          <w:szCs w:val="36"/>
          <w:lang w:val="en-US" w:eastAsia="zh-CN" w:bidi="ar-SA"/>
        </w:rPr>
        <w:t xml:space="preserve">  </w:t>
      </w:r>
      <w:r>
        <w:rPr>
          <w:rFonts w:hint="eastAsia" w:asciiTheme="minorHAnsi" w:hAnsiTheme="minorHAnsi" w:eastAsiaTheme="minorEastAsia" w:cstheme="minorBidi"/>
          <w:kern w:val="2"/>
          <w:sz w:val="28"/>
          <w:szCs w:val="36"/>
          <w:lang w:val="en-US" w:eastAsia="zh-CN" w:bidi="ar-SA"/>
        </w:rPr>
        <w:t>%）等费用，进口部分还要包括关税、商检、手续费、运费等全部费用，并注明生产厂家及产地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spacing w:line="480" w:lineRule="exact"/>
        <w:rPr>
          <w:rFonts w:hint="eastAsia" w:asciiTheme="minorHAnsi" w:hAnsiTheme="minorHAnsi" w:eastAsiaTheme="minorEastAsia" w:cstheme="minorBidi"/>
          <w:kern w:val="2"/>
          <w:sz w:val="28"/>
          <w:szCs w:val="36"/>
          <w:lang w:val="en-US" w:eastAsia="zh-CN" w:bidi="ar-SA"/>
        </w:rPr>
      </w:pPr>
    </w:p>
    <w:p>
      <w:pPr>
        <w:pStyle w:val="7"/>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DFCF4"/>
    <w:multiLevelType w:val="singleLevel"/>
    <w:tmpl w:val="811DFCF4"/>
    <w:lvl w:ilvl="0" w:tentative="0">
      <w:start w:val="3"/>
      <w:numFmt w:val="chineseCounting"/>
      <w:suff w:val="nothing"/>
      <w:lvlText w:val="%1、"/>
      <w:lvlJc w:val="left"/>
      <w:rPr>
        <w:rFonts w:hint="eastAsia"/>
      </w:rPr>
    </w:lvl>
  </w:abstractNum>
  <w:abstractNum w:abstractNumId="1">
    <w:nsid w:val="A59938B2"/>
    <w:multiLevelType w:val="singleLevel"/>
    <w:tmpl w:val="A59938B2"/>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04E48A5"/>
    <w:rsid w:val="01501908"/>
    <w:rsid w:val="017F23E3"/>
    <w:rsid w:val="01BB7833"/>
    <w:rsid w:val="01F44DDE"/>
    <w:rsid w:val="052F29B4"/>
    <w:rsid w:val="05FC1336"/>
    <w:rsid w:val="07E75082"/>
    <w:rsid w:val="087710DF"/>
    <w:rsid w:val="08C52F3A"/>
    <w:rsid w:val="0A701785"/>
    <w:rsid w:val="0B6F55A6"/>
    <w:rsid w:val="0D316F93"/>
    <w:rsid w:val="0E46525B"/>
    <w:rsid w:val="0EC46926"/>
    <w:rsid w:val="11E931F7"/>
    <w:rsid w:val="153C7358"/>
    <w:rsid w:val="181F019F"/>
    <w:rsid w:val="18C630DC"/>
    <w:rsid w:val="1D550C0E"/>
    <w:rsid w:val="1DA13FB7"/>
    <w:rsid w:val="1F6E444C"/>
    <w:rsid w:val="207104EF"/>
    <w:rsid w:val="20E7611B"/>
    <w:rsid w:val="21A84DD5"/>
    <w:rsid w:val="22C038B0"/>
    <w:rsid w:val="22FF65CE"/>
    <w:rsid w:val="2338088B"/>
    <w:rsid w:val="242A7524"/>
    <w:rsid w:val="24D33A69"/>
    <w:rsid w:val="24EE7D9B"/>
    <w:rsid w:val="262772FF"/>
    <w:rsid w:val="26B17245"/>
    <w:rsid w:val="26C323AA"/>
    <w:rsid w:val="28084AD4"/>
    <w:rsid w:val="28F46694"/>
    <w:rsid w:val="291819B2"/>
    <w:rsid w:val="2D645080"/>
    <w:rsid w:val="2D6F4221"/>
    <w:rsid w:val="2FCF51D6"/>
    <w:rsid w:val="31B7693E"/>
    <w:rsid w:val="32552DB4"/>
    <w:rsid w:val="329B4E81"/>
    <w:rsid w:val="34967B67"/>
    <w:rsid w:val="355114B6"/>
    <w:rsid w:val="35B9285B"/>
    <w:rsid w:val="374C12C3"/>
    <w:rsid w:val="37635B07"/>
    <w:rsid w:val="3A582007"/>
    <w:rsid w:val="3A993953"/>
    <w:rsid w:val="3B1F3144"/>
    <w:rsid w:val="3D9335F9"/>
    <w:rsid w:val="3F98152E"/>
    <w:rsid w:val="412072BE"/>
    <w:rsid w:val="427621E8"/>
    <w:rsid w:val="441A414F"/>
    <w:rsid w:val="45AC7876"/>
    <w:rsid w:val="47237853"/>
    <w:rsid w:val="479C6193"/>
    <w:rsid w:val="47F3390A"/>
    <w:rsid w:val="4BD73F9D"/>
    <w:rsid w:val="4CE405DF"/>
    <w:rsid w:val="4D902178"/>
    <w:rsid w:val="4E2A4E82"/>
    <w:rsid w:val="4E2D29F8"/>
    <w:rsid w:val="506759EB"/>
    <w:rsid w:val="51BC3509"/>
    <w:rsid w:val="5B6718A2"/>
    <w:rsid w:val="5C9F2CFB"/>
    <w:rsid w:val="5D363C4D"/>
    <w:rsid w:val="5D613E0C"/>
    <w:rsid w:val="5E190F3A"/>
    <w:rsid w:val="5FB967DC"/>
    <w:rsid w:val="6038664F"/>
    <w:rsid w:val="603B104A"/>
    <w:rsid w:val="607F642D"/>
    <w:rsid w:val="631C253B"/>
    <w:rsid w:val="67442501"/>
    <w:rsid w:val="68A576BD"/>
    <w:rsid w:val="696873B4"/>
    <w:rsid w:val="6B7B2FD8"/>
    <w:rsid w:val="6E275208"/>
    <w:rsid w:val="6E532A8D"/>
    <w:rsid w:val="6F580837"/>
    <w:rsid w:val="70024A28"/>
    <w:rsid w:val="71EF701C"/>
    <w:rsid w:val="723B526F"/>
    <w:rsid w:val="735D3AA8"/>
    <w:rsid w:val="76257DC8"/>
    <w:rsid w:val="76A60A20"/>
    <w:rsid w:val="76C715AC"/>
    <w:rsid w:val="76DF57AD"/>
    <w:rsid w:val="784309DA"/>
    <w:rsid w:val="786A0221"/>
    <w:rsid w:val="7C8E3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6">
    <w:name w:val="heading 4"/>
    <w:basedOn w:val="1"/>
    <w:next w:val="1"/>
    <w:qFormat/>
    <w:uiPriority w:val="0"/>
    <w:pPr>
      <w:widowControl/>
      <w:adjustRightInd w:val="0"/>
      <w:spacing w:line="400" w:lineRule="exact"/>
      <w:jc w:val="left"/>
      <w:textAlignment w:val="baseline"/>
      <w:outlineLvl w:val="3"/>
    </w:pPr>
    <w:rPr>
      <w:rFonts w:ascii="黑体" w:hAnsi="宋体" w:eastAsia="黑体"/>
      <w:b/>
      <w:bCs/>
      <w:kern w:val="0"/>
      <w:sz w:val="24"/>
      <w:szCs w:val="21"/>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7">
    <w:name w:val="Body Text First Indent 2"/>
    <w:basedOn w:val="2"/>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41"/>
    <w:basedOn w:val="10"/>
    <w:qFormat/>
    <w:uiPriority w:val="0"/>
    <w:rPr>
      <w:rFonts w:hint="eastAsia" w:ascii="宋体" w:hAnsi="宋体" w:eastAsia="宋体" w:cs="宋体"/>
      <w:color w:val="000000"/>
      <w:sz w:val="18"/>
      <w:szCs w:val="18"/>
      <w:u w:val="none"/>
    </w:rPr>
  </w:style>
  <w:style w:type="character" w:customStyle="1" w:styleId="12">
    <w:name w:val="font31"/>
    <w:basedOn w:val="10"/>
    <w:qFormat/>
    <w:uiPriority w:val="0"/>
    <w:rPr>
      <w:rFonts w:hint="default" w:ascii="Times New Roman" w:hAnsi="Times New Roman" w:cs="Times New Roman"/>
      <w:color w:val="000000"/>
      <w:sz w:val="18"/>
      <w:szCs w:val="18"/>
      <w:u w:val="none"/>
    </w:rPr>
  </w:style>
  <w:style w:type="paragraph" w:customStyle="1" w:styleId="13">
    <w:name w:val="Body Text Indent"/>
    <w:basedOn w:val="1"/>
    <w:next w:val="14"/>
    <w:qFormat/>
    <w:uiPriority w:val="0"/>
    <w:pPr>
      <w:spacing w:after="120" w:afterLines="0"/>
      <w:ind w:left="420" w:leftChars="200"/>
    </w:pPr>
    <w:rPr>
      <w:rFonts w:eastAsia="宋体" w:cs="Times New Roman"/>
      <w:sz w:val="21"/>
    </w:rPr>
  </w:style>
  <w:style w:type="paragraph" w:customStyle="1" w:styleId="14">
    <w:name w:val="Normal Indent"/>
    <w:basedOn w:val="1"/>
    <w:qFormat/>
    <w:uiPriority w:val="0"/>
    <w:pPr>
      <w:ind w:firstLine="420" w:firstLineChars="200"/>
    </w:pPr>
    <w:rPr>
      <w:rFonts w:ascii="Calibri" w:hAnsi="Calibri" w:eastAsia="仿宋"/>
      <w:sz w:val="32"/>
    </w:rPr>
  </w:style>
  <w:style w:type="character" w:customStyle="1" w:styleId="15">
    <w:name w:val="aboutus"/>
    <w:basedOn w:val="10"/>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4514</Words>
  <Characters>4893</Characters>
  <Lines>0</Lines>
  <Paragraphs>0</Paragraphs>
  <TotalTime>23</TotalTime>
  <ScaleCrop>false</ScaleCrop>
  <LinksUpToDate>false</LinksUpToDate>
  <CharactersWithSpaces>5001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2022-08-26T02:52:00Z</cp:lastPrinted>
  <dcterms:modified xsi:type="dcterms:W3CDTF">2022-10-26T03:38:02Z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85309F0B7BA945E1ABD50AE12FF9437F</vt:lpwstr>
  </property>
</Properties>
</file>