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麻州镇市政工程项目招标函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8"/>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麻州镇区市政工程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会昌县麻州镇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老旧路灯的更换及维修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2022年5月16日至2022年5月19</w:t>
            </w:r>
            <w:bookmarkStart w:id="1" w:name="_GoBack"/>
            <w:bookmarkEnd w:id="1"/>
            <w:r>
              <w:rPr>
                <w:rFonts w:hint="eastAsia" w:ascii="仿宋" w:hAnsi="仿宋" w:eastAsia="仿宋" w:cs="仿宋"/>
                <w:b w:val="0"/>
                <w:bCs w:val="0"/>
                <w:color w:val="FF0000"/>
                <w:sz w:val="32"/>
                <w:szCs w:val="32"/>
                <w:vertAlign w:val="baseline"/>
                <w:lang w:val="en-US" w:eastAsia="zh-CN"/>
              </w:rPr>
              <w:t>日8点前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2022年5月20号9时00分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 w:hAnsi="仿宋" w:eastAsia="仿宋" w:cs="仿宋"/>
          <w:b/>
          <w:bCs/>
          <w:sz w:val="28"/>
          <w:szCs w:val="28"/>
          <w:lang w:val="en-US" w:eastAsia="zh-CN"/>
        </w:rPr>
        <w:t>路灯施工班组</w:t>
      </w:r>
      <w:r>
        <w:rPr>
          <w:rFonts w:hint="eastAsia" w:ascii="仿宋_GB2312" w:hAnsi="仿宋_GB2312" w:eastAsia="仿宋_GB2312" w:cs="仿宋_GB2312"/>
          <w:b/>
          <w:bCs/>
          <w:sz w:val="32"/>
          <w:szCs w:val="32"/>
          <w:lang w:val="en-US" w:eastAsia="zh-CN"/>
        </w:rPr>
        <w:t>材料</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1、各种路灯灯具的型号、规格必须符合设计要求。灯具应有产品合格证，生产许可证、“CCC”认证标识。</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2、常规路灯灯具的效率不应低于60%。</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3、灯具配件应齐全，无机械损伤、变形、油漆剥落、灯罩破裂等现象。路灯灯具的防护等级、密封性能必须在IP55以上；</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4、反光器应干净整洁，并应进行抛光氧化或镀膜处理，反光器表面应无明显划痕；</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5、透明罩的透光率应达到90％以上，并应无气泡、明显的划痕和裂纹；</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6、封闭路灯灯具的灯头引线应采用耐热绝缘管保护，灯罩与尾座的连接配合应无间隙；</w:t>
      </w:r>
    </w:p>
    <w:p>
      <w:pPr>
        <w:numPr>
          <w:ilvl w:val="0"/>
          <w:numId w:val="0"/>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灯内配线严禁外露，且相线、零线(N)、接地线(PE)用不同颜色置，金属网无扭曲变形，密封垫完好。灯头线应使用额定电压不低于500V的铜芯绝缘线。功率小于400W的最小允许线芯截面应为1.5mm2，功率在400W至1000W的最小允许线芯截面应为2.5mm2。</w:t>
      </w:r>
    </w:p>
    <w:p>
      <w:pPr>
        <w:numPr>
          <w:ilvl w:val="0"/>
          <w:numId w:val="0"/>
        </w:num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路灯安装</w:t>
      </w:r>
    </w:p>
    <w:p>
      <w:pPr>
        <w:numPr>
          <w:ilvl w:val="0"/>
          <w:numId w:val="0"/>
        </w:numPr>
        <w:ind w:firstLine="592" w:firstLineChars="200"/>
        <w:jc w:val="left"/>
        <w:rPr>
          <w:rFonts w:hint="eastAsia" w:ascii="仿宋" w:hAnsi="仿宋" w:eastAsia="仿宋" w:cs="仿宋"/>
          <w:spacing w:val="-2"/>
          <w:sz w:val="30"/>
          <w:szCs w:val="30"/>
        </w:rPr>
      </w:pPr>
      <w:r>
        <w:rPr>
          <w:rFonts w:hint="eastAsia" w:ascii="仿宋" w:hAnsi="仿宋" w:eastAsia="仿宋" w:cs="仿宋"/>
          <w:spacing w:val="-2"/>
          <w:sz w:val="30"/>
          <w:szCs w:val="30"/>
          <w:lang w:val="en-US" w:eastAsia="zh-CN"/>
        </w:rPr>
        <w:t>1、</w:t>
      </w:r>
      <w:r>
        <w:rPr>
          <w:rFonts w:hint="eastAsia" w:ascii="仿宋" w:hAnsi="仿宋" w:eastAsia="仿宋" w:cs="仿宋"/>
          <w:spacing w:val="-2"/>
          <w:sz w:val="30"/>
          <w:szCs w:val="30"/>
        </w:rPr>
        <w:t>根据路灯安装施</w:t>
      </w:r>
      <w:r>
        <w:rPr>
          <w:rFonts w:hint="eastAsia" w:ascii="仿宋" w:hAnsi="仿宋" w:eastAsia="仿宋" w:cs="仿宋"/>
          <w:spacing w:val="-2"/>
          <w:sz w:val="30"/>
          <w:szCs w:val="30"/>
          <w:lang w:eastAsia="zh-CN"/>
        </w:rPr>
        <w:t>工</w:t>
      </w:r>
      <w:r>
        <w:rPr>
          <w:rFonts w:hint="eastAsia" w:ascii="仿宋" w:hAnsi="仿宋" w:eastAsia="仿宋" w:cs="仿宋"/>
          <w:spacing w:val="-2"/>
          <w:sz w:val="30"/>
          <w:szCs w:val="30"/>
        </w:rPr>
        <w:t>图及道路中</w:t>
      </w:r>
      <w:r>
        <w:rPr>
          <w:rFonts w:hint="eastAsia" w:ascii="仿宋" w:hAnsi="仿宋" w:eastAsia="仿宋" w:cs="仿宋"/>
          <w:spacing w:val="-2"/>
          <w:sz w:val="30"/>
          <w:szCs w:val="30"/>
          <w:lang w:eastAsia="zh-CN"/>
        </w:rPr>
        <w:t>心</w:t>
      </w:r>
      <w:r>
        <w:rPr>
          <w:rFonts w:hint="eastAsia" w:ascii="仿宋" w:hAnsi="仿宋" w:eastAsia="仿宋" w:cs="仿宋"/>
          <w:spacing w:val="-2"/>
          <w:sz w:val="30"/>
          <w:szCs w:val="30"/>
        </w:rPr>
        <w:t>线和参考点，确定路灯的安装位置及基础</w:t>
      </w:r>
      <w:r>
        <w:rPr>
          <w:rFonts w:hint="eastAsia" w:ascii="仿宋" w:hAnsi="仿宋" w:eastAsia="仿宋" w:cs="仿宋"/>
          <w:spacing w:val="-2"/>
          <w:sz w:val="30"/>
          <w:szCs w:val="30"/>
          <w:lang w:eastAsia="zh-CN"/>
        </w:rPr>
        <w:t>高</w:t>
      </w:r>
      <w:r>
        <w:rPr>
          <w:rFonts w:hint="eastAsia" w:ascii="仿宋" w:hAnsi="仿宋" w:eastAsia="仿宋" w:cs="仿宋"/>
          <w:spacing w:val="-2"/>
          <w:sz w:val="30"/>
          <w:szCs w:val="30"/>
        </w:rPr>
        <w:t>度，并标出基础安装位置。基础顶</w:t>
      </w:r>
      <w:r>
        <w:rPr>
          <w:rFonts w:hint="eastAsia" w:ascii="仿宋" w:hAnsi="仿宋" w:eastAsia="仿宋" w:cs="仿宋"/>
          <w:spacing w:val="-2"/>
          <w:sz w:val="30"/>
          <w:szCs w:val="30"/>
          <w:lang w:eastAsia="zh-CN"/>
        </w:rPr>
        <w:t>面</w:t>
      </w:r>
      <w:r>
        <w:rPr>
          <w:rFonts w:hint="eastAsia" w:ascii="仿宋" w:hAnsi="仿宋" w:eastAsia="仿宋" w:cs="仿宋"/>
          <w:spacing w:val="-2"/>
          <w:sz w:val="30"/>
          <w:szCs w:val="30"/>
        </w:rPr>
        <w:t>标</w:t>
      </w:r>
      <w:r>
        <w:rPr>
          <w:rFonts w:hint="eastAsia" w:ascii="仿宋" w:hAnsi="仿宋" w:eastAsia="仿宋" w:cs="仿宋"/>
          <w:spacing w:val="-2"/>
          <w:sz w:val="30"/>
          <w:szCs w:val="30"/>
          <w:lang w:eastAsia="zh-CN"/>
        </w:rPr>
        <w:t>高</w:t>
      </w:r>
      <w:r>
        <w:rPr>
          <w:rFonts w:hint="eastAsia" w:ascii="仿宋" w:hAnsi="仿宋" w:eastAsia="仿宋" w:cs="仿宋"/>
          <w:spacing w:val="-2"/>
          <w:sz w:val="30"/>
          <w:szCs w:val="30"/>
        </w:rPr>
        <w:t>应提供标桩。</w:t>
      </w:r>
    </w:p>
    <w:p>
      <w:pPr>
        <w:pStyle w:val="14"/>
        <w:numPr>
          <w:ilvl w:val="0"/>
          <w:numId w:val="0"/>
        </w:numPr>
        <w:tabs>
          <w:tab w:val="left" w:pos="703"/>
        </w:tabs>
        <w:spacing w:before="0" w:after="0" w:line="228" w:lineRule="auto"/>
        <w:ind w:right="107" w:rightChars="0" w:firstLine="592" w:firstLineChars="200"/>
        <w:jc w:val="left"/>
        <w:rPr>
          <w:rFonts w:hint="eastAsia" w:ascii="仿宋" w:hAnsi="仿宋" w:eastAsia="仿宋" w:cs="仿宋"/>
          <w:spacing w:val="-2"/>
          <w:sz w:val="30"/>
          <w:szCs w:val="30"/>
        </w:rPr>
      </w:pPr>
      <w:r>
        <w:rPr>
          <w:rFonts w:hint="eastAsia" w:ascii="仿宋" w:hAnsi="仿宋" w:eastAsia="仿宋" w:cs="仿宋"/>
          <w:spacing w:val="-2"/>
          <w:sz w:val="30"/>
          <w:szCs w:val="30"/>
          <w:lang w:val="en-US" w:eastAsia="zh-CN"/>
        </w:rPr>
        <w:t>2、</w:t>
      </w:r>
      <w:r>
        <w:rPr>
          <w:rFonts w:hint="eastAsia" w:ascii="仿宋" w:hAnsi="仿宋" w:eastAsia="仿宋" w:cs="仿宋"/>
          <w:spacing w:val="-2"/>
          <w:sz w:val="30"/>
          <w:szCs w:val="30"/>
        </w:rPr>
        <w:t>直线杆顺线路</w:t>
      </w:r>
      <w:r>
        <w:rPr>
          <w:rFonts w:hint="eastAsia" w:ascii="仿宋" w:hAnsi="仿宋" w:eastAsia="仿宋" w:cs="仿宋"/>
          <w:spacing w:val="-2"/>
          <w:sz w:val="30"/>
          <w:szCs w:val="30"/>
          <w:lang w:eastAsia="zh-CN"/>
        </w:rPr>
        <w:t>方</w:t>
      </w:r>
      <w:r>
        <w:rPr>
          <w:rFonts w:hint="eastAsia" w:ascii="仿宋" w:hAnsi="仿宋" w:eastAsia="仿宋" w:cs="仿宋"/>
          <w:spacing w:val="-2"/>
          <w:sz w:val="30"/>
          <w:szCs w:val="30"/>
        </w:rPr>
        <w:t>向位移不应超过设计档距的3%；直线杆沿线路</w:t>
      </w:r>
      <w:r>
        <w:rPr>
          <w:rFonts w:hint="eastAsia" w:ascii="仿宋" w:hAnsi="仿宋" w:eastAsia="仿宋" w:cs="仿宋"/>
          <w:spacing w:val="-2"/>
          <w:sz w:val="30"/>
          <w:szCs w:val="30"/>
          <w:lang w:eastAsia="zh-CN"/>
        </w:rPr>
        <w:t>方</w:t>
      </w:r>
      <w:r>
        <w:rPr>
          <w:rFonts w:hint="eastAsia" w:ascii="仿宋" w:hAnsi="仿宋" w:eastAsia="仿宋" w:cs="仿宋"/>
          <w:spacing w:val="-2"/>
          <w:sz w:val="30"/>
          <w:szCs w:val="30"/>
        </w:rPr>
        <w:t>向横向位移不应超过50mm；转</w:t>
      </w:r>
      <w:r>
        <w:rPr>
          <w:rFonts w:hint="eastAsia" w:ascii="仿宋" w:hAnsi="仿宋" w:eastAsia="仿宋" w:cs="仿宋"/>
          <w:spacing w:val="-2"/>
          <w:sz w:val="30"/>
          <w:szCs w:val="30"/>
          <w:lang w:eastAsia="zh-CN"/>
        </w:rPr>
        <w:t>角</w:t>
      </w:r>
      <w:r>
        <w:rPr>
          <w:rFonts w:hint="eastAsia" w:ascii="仿宋" w:hAnsi="仿宋" w:eastAsia="仿宋" w:cs="仿宋"/>
          <w:spacing w:val="-2"/>
          <w:sz w:val="30"/>
          <w:szCs w:val="30"/>
        </w:rPr>
        <w:t>杆、分</w:t>
      </w:r>
      <w:r>
        <w:rPr>
          <w:rFonts w:hint="eastAsia" w:ascii="仿宋" w:hAnsi="仿宋" w:eastAsia="仿宋" w:cs="仿宋"/>
          <w:spacing w:val="-2"/>
          <w:sz w:val="30"/>
          <w:szCs w:val="30"/>
          <w:lang w:eastAsia="zh-CN"/>
        </w:rPr>
        <w:t>支</w:t>
      </w:r>
      <w:r>
        <w:rPr>
          <w:rFonts w:hint="eastAsia" w:ascii="仿宋" w:hAnsi="仿宋" w:eastAsia="仿宋" w:cs="仿宋"/>
          <w:spacing w:val="-2"/>
          <w:sz w:val="30"/>
          <w:szCs w:val="30"/>
        </w:rPr>
        <w:t>杆的横线路、顺线路</w:t>
      </w:r>
      <w:r>
        <w:rPr>
          <w:rFonts w:hint="eastAsia" w:ascii="仿宋" w:hAnsi="仿宋" w:eastAsia="仿宋" w:cs="仿宋"/>
          <w:spacing w:val="-2"/>
          <w:sz w:val="30"/>
          <w:szCs w:val="30"/>
          <w:lang w:eastAsia="zh-CN"/>
        </w:rPr>
        <w:t>方</w:t>
      </w:r>
      <w:r>
        <w:rPr>
          <w:rFonts w:hint="eastAsia" w:ascii="仿宋" w:hAnsi="仿宋" w:eastAsia="仿宋" w:cs="仿宋"/>
          <w:spacing w:val="-2"/>
          <w:sz w:val="30"/>
          <w:szCs w:val="30"/>
        </w:rPr>
        <w:t>向的位移均不应超过50mm。</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907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95"/>
        <w:gridCol w:w="1296"/>
        <w:gridCol w:w="1296"/>
        <w:gridCol w:w="1296"/>
        <w:gridCol w:w="1296"/>
        <w:gridCol w:w="1296"/>
        <w:gridCol w:w="1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304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麻州示范镇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项目名称</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特征描述</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暂定工程量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计量单位</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单价</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LED灯头</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100W</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200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320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64000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4*10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70000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电缆套管</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4</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8000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护套线</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1750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拉线</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12</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24000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更换灯头</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320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64000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1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合计</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231750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r>
    </w:tbl>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tbl>
      <w:tblPr>
        <w:tblStyle w:val="7"/>
        <w:tblW w:w="907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95"/>
        <w:gridCol w:w="1296"/>
        <w:gridCol w:w="1296"/>
        <w:gridCol w:w="1296"/>
        <w:gridCol w:w="1296"/>
        <w:gridCol w:w="1296"/>
        <w:gridCol w:w="1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304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小康路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项目名称</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特征描述</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暂定工程量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计量单位</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单价</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壁灯</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100W</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21</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500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10500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3*6+1</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17500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拉线</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墙上安装</w:t>
            </w:r>
          </w:p>
        </w:tc>
        <w:tc>
          <w:tcPr>
            <w:tcW w:w="186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15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7500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套管 卡子</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sz w:val="22"/>
                <w:szCs w:val="22"/>
                <w:u w:val="none"/>
                <w:lang w:eastAsia="zh-CN"/>
              </w:rPr>
              <w:t>墙上安装</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5</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2500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配电箱</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1</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3000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3000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材料包安装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安装壁灯</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21</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盏</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350</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7350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1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合计</w:t>
            </w:r>
          </w:p>
        </w:tc>
        <w:tc>
          <w:tcPr>
            <w:tcW w:w="18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48350</w:t>
            </w:r>
          </w:p>
        </w:tc>
        <w:tc>
          <w:tcPr>
            <w:tcW w:w="1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r>
    </w:tbl>
    <w:p>
      <w:pPr>
        <w:spacing w:line="360" w:lineRule="auto"/>
        <w:rPr>
          <w:rFonts w:hint="eastAsia" w:ascii="宋体" w:hAnsi="宋体" w:cs="宋体"/>
          <w:b/>
          <w:bCs w:val="0"/>
          <w:color w:val="000000" w:themeColor="text1"/>
          <w:kern w:val="0"/>
          <w:sz w:val="36"/>
          <w:szCs w:val="36"/>
          <w:lang w:eastAsia="zh-CN"/>
          <w14:textFill>
            <w14:solidFill>
              <w14:schemeClr w14:val="tx1"/>
            </w14:solidFill>
          </w14:textFill>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7"/>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95"/>
        <w:gridCol w:w="1296"/>
        <w:gridCol w:w="1296"/>
        <w:gridCol w:w="1296"/>
        <w:gridCol w:w="1296"/>
        <w:gridCol w:w="1296"/>
        <w:gridCol w:w="1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07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麻州示范镇路灯维修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项目名称</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特征描述</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暂定工程量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计量单位</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单价</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LED灯头</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100W</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200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4*10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电缆套管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96"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护套线</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2.5</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拉线</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更换灯头</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647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合计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黑体" w:hAnsi="黑体" w:eastAsia="黑体" w:cs="黑体"/>
          <w:bCs/>
          <w:sz w:val="28"/>
          <w:szCs w:val="28"/>
          <w:lang w:val="en-US" w:eastAsia="zh-CN"/>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rPr>
          <w:rFonts w:hint="eastAsia"/>
          <w:lang w:eastAsia="zh-CN"/>
        </w:rPr>
      </w:pPr>
    </w:p>
    <w:tbl>
      <w:tblPr>
        <w:tblStyle w:val="7"/>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95"/>
        <w:gridCol w:w="1296"/>
        <w:gridCol w:w="1296"/>
        <w:gridCol w:w="1296"/>
        <w:gridCol w:w="1296"/>
        <w:gridCol w:w="1296"/>
        <w:gridCol w:w="1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07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小康路路灯安装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项目名称</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特征描述</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暂定工程量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计量单位</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单价</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壁灯</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21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电缆</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rPr>
              <w:t>3*6+1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拉线</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墙上安装</w:t>
            </w:r>
          </w:p>
        </w:tc>
        <w:tc>
          <w:tcPr>
            <w:tcW w:w="1296"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套管 卡子</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sz w:val="22"/>
                <w:szCs w:val="22"/>
                <w:u w:val="none"/>
                <w:lang w:eastAsia="zh-CN"/>
              </w:rPr>
              <w:t>墙上安装</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500</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配电箱</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m</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材料包安装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安装壁灯</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21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盏</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劳务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647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rPr>
              <w:t>合计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rPr>
            </w:pP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right"/>
        <w:rPr>
          <w:rFonts w:hint="eastAsia" w:ascii="黑体" w:hAnsi="黑体" w:eastAsia="黑体" w:cs="黑体"/>
          <w:bCs/>
          <w:sz w:val="28"/>
          <w:szCs w:val="28"/>
          <w:lang w:val="en-US" w:eastAsia="zh-CN"/>
        </w:rPr>
      </w:pPr>
    </w:p>
    <w:p>
      <w:pPr>
        <w:pStyle w:val="2"/>
        <w:ind w:left="0" w:leftChars="0" w:firstLine="0" w:firstLineChars="0"/>
        <w:rPr>
          <w:rFonts w:hint="eastAsia" w:ascii="宋体" w:hAnsi="宋体" w:cs="宋体"/>
          <w:b/>
          <w:bCs w:val="0"/>
          <w:color w:val="000000" w:themeColor="text1"/>
          <w:kern w:val="0"/>
          <w:sz w:val="36"/>
          <w:szCs w:val="36"/>
          <w:lang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87710DF"/>
    <w:rsid w:val="08C52F3A"/>
    <w:rsid w:val="0A701785"/>
    <w:rsid w:val="0B6F55A6"/>
    <w:rsid w:val="0D316F93"/>
    <w:rsid w:val="0E46525B"/>
    <w:rsid w:val="11E931F7"/>
    <w:rsid w:val="181F019F"/>
    <w:rsid w:val="18C630DC"/>
    <w:rsid w:val="1D550C0E"/>
    <w:rsid w:val="1DA13FB7"/>
    <w:rsid w:val="207104EF"/>
    <w:rsid w:val="21A84DD5"/>
    <w:rsid w:val="2338088B"/>
    <w:rsid w:val="24D33A69"/>
    <w:rsid w:val="26B17245"/>
    <w:rsid w:val="26C323AA"/>
    <w:rsid w:val="28084AD4"/>
    <w:rsid w:val="28F46694"/>
    <w:rsid w:val="2D6F4221"/>
    <w:rsid w:val="2FCF51D6"/>
    <w:rsid w:val="31B7693E"/>
    <w:rsid w:val="329B4E81"/>
    <w:rsid w:val="34967B67"/>
    <w:rsid w:val="35B9285B"/>
    <w:rsid w:val="374C12C3"/>
    <w:rsid w:val="37635B07"/>
    <w:rsid w:val="3A582007"/>
    <w:rsid w:val="3B1F3144"/>
    <w:rsid w:val="3D9335F9"/>
    <w:rsid w:val="3F98152E"/>
    <w:rsid w:val="427621E8"/>
    <w:rsid w:val="441A414F"/>
    <w:rsid w:val="45AC7876"/>
    <w:rsid w:val="47237853"/>
    <w:rsid w:val="4BD73F9D"/>
    <w:rsid w:val="4CE405DF"/>
    <w:rsid w:val="4D902178"/>
    <w:rsid w:val="4E2A4E82"/>
    <w:rsid w:val="4E2D29F8"/>
    <w:rsid w:val="4E39599F"/>
    <w:rsid w:val="506759EB"/>
    <w:rsid w:val="51BC3509"/>
    <w:rsid w:val="5B6718A2"/>
    <w:rsid w:val="5C9F2CFB"/>
    <w:rsid w:val="5D363C4D"/>
    <w:rsid w:val="5D613E0C"/>
    <w:rsid w:val="5E190F3A"/>
    <w:rsid w:val="5FB967DC"/>
    <w:rsid w:val="5FC0746A"/>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Body Text"/>
    <w:basedOn w:val="1"/>
    <w:qFormat/>
    <w:uiPriority w:val="1"/>
    <w:pPr>
      <w:spacing w:before="178"/>
    </w:pPr>
    <w:rPr>
      <w:rFonts w:ascii="PMingLiU" w:hAnsi="PMingLiU" w:eastAsia="PMingLiU" w:cs="PMingLiU"/>
      <w:sz w:val="19"/>
      <w:szCs w:val="19"/>
      <w:lang w:val="zh-CN" w:eastAsia="zh-CN" w:bidi="zh-CN"/>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41"/>
    <w:basedOn w:val="9"/>
    <w:qFormat/>
    <w:uiPriority w:val="0"/>
    <w:rPr>
      <w:rFonts w:hint="eastAsia" w:ascii="宋体" w:hAnsi="宋体" w:eastAsia="宋体" w:cs="宋体"/>
      <w:color w:val="000000"/>
      <w:sz w:val="18"/>
      <w:szCs w:val="18"/>
      <w:u w:val="none"/>
    </w:rPr>
  </w:style>
  <w:style w:type="character" w:customStyle="1" w:styleId="11">
    <w:name w:val="font31"/>
    <w:basedOn w:val="9"/>
    <w:qFormat/>
    <w:uiPriority w:val="0"/>
    <w:rPr>
      <w:rFonts w:hint="default" w:ascii="Times New Roman" w:hAnsi="Times New Roman" w:cs="Times New Roman"/>
      <w:color w:val="000000"/>
      <w:sz w:val="18"/>
      <w:szCs w:val="18"/>
      <w:u w:val="none"/>
    </w:rPr>
  </w:style>
  <w:style w:type="paragraph" w:customStyle="1" w:styleId="12">
    <w:name w:val="Body Text Indent"/>
    <w:basedOn w:val="1"/>
    <w:next w:val="13"/>
    <w:qFormat/>
    <w:uiPriority w:val="0"/>
    <w:pPr>
      <w:spacing w:after="120" w:afterLines="0"/>
      <w:ind w:left="420" w:leftChars="200"/>
    </w:pPr>
    <w:rPr>
      <w:rFonts w:eastAsia="宋体" w:cs="Times New Roman"/>
      <w:sz w:val="21"/>
    </w:rPr>
  </w:style>
  <w:style w:type="paragraph" w:customStyle="1" w:styleId="13">
    <w:name w:val="Normal Indent"/>
    <w:basedOn w:val="1"/>
    <w:qFormat/>
    <w:uiPriority w:val="0"/>
    <w:pPr>
      <w:ind w:firstLine="420" w:firstLineChars="200"/>
    </w:pPr>
    <w:rPr>
      <w:rFonts w:ascii="Calibri" w:hAnsi="Calibri" w:eastAsia="仿宋"/>
      <w:sz w:val="32"/>
    </w:rPr>
  </w:style>
  <w:style w:type="paragraph" w:styleId="14">
    <w:name w:val="List Paragraph"/>
    <w:basedOn w:val="1"/>
    <w:qFormat/>
    <w:uiPriority w:val="1"/>
    <w:pPr>
      <w:spacing w:before="178"/>
      <w:ind w:left="546" w:hanging="421"/>
    </w:pPr>
    <w:rPr>
      <w:rFonts w:ascii="PMingLiU" w:hAnsi="PMingLiU" w:eastAsia="PMingLiU" w:cs="PMingLiU"/>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2159</Words>
  <Characters>2430</Characters>
  <Lines>0</Lines>
  <Paragraphs>0</Paragraphs>
  <TotalTime>3</TotalTime>
  <ScaleCrop>false</ScaleCrop>
  <LinksUpToDate>false</LinksUpToDate>
  <CharactersWithSpaces>2600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2022-05-16T04:04:55Z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1628D004C4A54F589EB7655E8EC02406</vt:lpwstr>
  </property>
</Properties>
</file>