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金融大厦消防招标工程项目招标函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6"/>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88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金融大楼消防工程项目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会昌县城内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消防工程施工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w:t>
            </w:r>
            <w:bookmarkStart w:id="2" w:name="_GoBack"/>
            <w:bookmarkEnd w:id="2"/>
            <w:r>
              <w:rPr>
                <w:rFonts w:hint="eastAsia" w:ascii="仿宋" w:hAnsi="仿宋" w:eastAsia="仿宋" w:cs="仿宋"/>
                <w:b w:val="0"/>
                <w:bCs w:val="0"/>
                <w:sz w:val="32"/>
                <w:szCs w:val="32"/>
                <w:vertAlign w:val="baseline"/>
                <w:lang w:val="en-US" w:eastAsia="zh-CN"/>
              </w:rPr>
              <w:t>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885"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主体完工后30天内完工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885"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2022年4月16日至2022年4月19日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b w:val="0"/>
                <w:bCs w:val="0"/>
                <w:sz w:val="32"/>
                <w:szCs w:val="32"/>
                <w:vertAlign w:val="baseline"/>
                <w:lang w:val="en-US" w:eastAsia="zh-CN"/>
              </w:rPr>
              <w:t>按每月支付合格工程量的70%，消防验收合格后再支付25%，剩余5%质保金两年后付清。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固定单价包干（</w:t>
            </w:r>
            <w:r>
              <w:rPr>
                <w:rFonts w:hint="eastAsia" w:ascii="仿宋" w:hAnsi="仿宋" w:eastAsia="仿宋" w:cs="仿宋"/>
                <w:b w:val="0"/>
                <w:bCs w:val="0"/>
                <w:color w:val="FF0000"/>
                <w:sz w:val="32"/>
                <w:szCs w:val="32"/>
                <w:vertAlign w:val="baseline"/>
                <w:lang w:val="en-US" w:eastAsia="zh-CN"/>
              </w:rPr>
              <w:t>含增值税专票、人工、材料、机械费等</w:t>
            </w:r>
            <w:r>
              <w:rPr>
                <w:rFonts w:hint="eastAsia" w:ascii="仿宋" w:hAnsi="仿宋" w:eastAsia="仿宋" w:cs="仿宋"/>
                <w:b w:val="0"/>
                <w:bCs w:val="0"/>
                <w:sz w:val="32"/>
                <w:szCs w:val="32"/>
                <w:vertAlign w:val="baseline"/>
                <w:lang w:val="en-US" w:eastAsia="zh-CN"/>
              </w:rPr>
              <w:t>），结算以实际工程量*单价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885" w:type="dxa"/>
            <w:vAlign w:val="center"/>
          </w:tcPr>
          <w:p>
            <w:pPr>
              <w:ind w:firstLine="320" w:firstLineChars="100"/>
              <w:jc w:val="both"/>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 xml:space="preserve">招标联系人：           </w:t>
            </w:r>
            <w:r>
              <w:rPr>
                <w:rFonts w:hint="eastAsia" w:ascii="仿宋" w:hAnsi="仿宋" w:eastAsia="仿宋" w:cs="仿宋"/>
                <w:b w:val="0"/>
                <w:bCs w:val="0"/>
                <w:sz w:val="28"/>
                <w:szCs w:val="28"/>
                <w:vertAlign w:val="baseline"/>
                <w:lang w:val="en-US" w:eastAsia="zh-CN"/>
              </w:rPr>
              <w:t>林先生 15870710725</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（金融大厦技术负责人）       张先生18046876070</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需要图纸及勘察项目现场请联系技术负责人，报名需联系招标联系人，并提供报名资料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885" w:type="dxa"/>
            <w:vAlign w:val="center"/>
          </w:tcPr>
          <w:p>
            <w:pPr>
              <w:jc w:val="both"/>
              <w:rPr>
                <w:rFonts w:hint="default"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2022年4月20号9:00</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bCs/>
          <w:sz w:val="32"/>
          <w:szCs w:val="32"/>
          <w:lang w:val="en-US" w:eastAsia="zh-CN"/>
        </w:rPr>
        <w:t>报价文件由报价表（参照附件格式）、法人身份证复印件、公司营业执照复印件，开户许可证复印件、委托书及被委托人身份证复印件、承诺书，报价的需写明使用材料的品牌并出具相关产品合格证书，符合二次送检的规程规范，复印件都需加盖公章，报价必须密封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w:t>
      </w:r>
      <w:bookmarkStart w:id="1" w:name="_Toc46481525"/>
      <w:r>
        <w:rPr>
          <w:rFonts w:hint="eastAsia" w:ascii="仿宋_GB2312" w:hAnsi="仿宋_GB2312" w:eastAsia="仿宋_GB2312" w:cs="仿宋_GB2312"/>
          <w:b w:val="0"/>
          <w:bCs w:val="0"/>
          <w:sz w:val="32"/>
          <w:szCs w:val="32"/>
          <w:lang w:val="en-US" w:eastAsia="zh-CN"/>
        </w:rPr>
        <w:t>、申请公司的资格要求</w:t>
      </w:r>
      <w:bookmarkEnd w:id="1"/>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1）具有独立承担民事责任的能力；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2）具有良好的商业信誉和健全的财务会计制度；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3）具有履行合同所必需的设备和专业技术能力；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4）有依法缴纳税收和社会保障资金的良好记录；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5）需要有关于消防工程相关资质的专业公司；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6）参加消防工程活动前三年内，在经营活动中没有重大违法记录。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7）中标后3个工作日内签订合同，签订合同后要在5个工作日内需进场施工。</w:t>
      </w:r>
    </w:p>
    <w:p>
      <w:pPr>
        <w:numPr>
          <w:ilvl w:val="0"/>
          <w:numId w:val="0"/>
        </w:numPr>
        <w:ind w:leftChars="0" w:firstLine="640" w:firstLineChars="200"/>
        <w:jc w:val="left"/>
        <w:rPr>
          <w:rFonts w:hint="eastAsia"/>
          <w:b/>
          <w:bCs/>
          <w:sz w:val="28"/>
          <w:szCs w:val="28"/>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val="en-US" w:eastAsia="zh-CN"/>
        </w:rPr>
        <w:t>贰</w:t>
      </w:r>
      <w:r>
        <w:rPr>
          <w:rFonts w:hint="eastAsia" w:ascii="仿宋_GB2312" w:hAnsi="仿宋_GB2312" w:eastAsia="仿宋_GB2312" w:cs="仿宋_GB2312"/>
          <w:b/>
          <w:bCs/>
          <w:sz w:val="32"/>
          <w:szCs w:val="32"/>
        </w:rPr>
        <w:t>万元整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自主选择以支票、汇票、本票等非现金形式提交。以电汇等非现金形式提交者，须在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中国建设银行股份有限公司会昌支行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36050181135000000071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供应商以电汇等非现金形式提交的响应保证金,在《成交通知书》发出之日起五个工作日内按来款渠道直接无息退还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中标人中标后需缴纳伍万元履约保证金</w:t>
      </w:r>
      <w:r>
        <w:rPr>
          <w:rFonts w:hint="eastAsia" w:ascii="仿宋_GB2312" w:hAnsi="仿宋_GB2312" w:eastAsia="仿宋_GB2312" w:cs="仿宋_GB2312"/>
          <w:sz w:val="32"/>
          <w:szCs w:val="32"/>
        </w:rPr>
        <w:t>。</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承包内容：</w:t>
      </w:r>
    </w:p>
    <w:p>
      <w:pPr>
        <w:keepNext w:val="0"/>
        <w:keepLines w:val="0"/>
        <w:widowControl/>
        <w:numPr>
          <w:ilvl w:val="0"/>
          <w:numId w:val="2"/>
        </w:numPr>
        <w:suppressLineNumbers w:val="0"/>
        <w:ind w:firstLine="640" w:firstLineChars="200"/>
        <w:jc w:val="left"/>
        <w:textAlignment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根据建设单位施工图纸、有关设计变更及会审纪要的全部工程</w:t>
      </w:r>
      <w:r>
        <w:rPr>
          <w:rFonts w:hint="eastAsia" w:ascii="仿宋_GB2312" w:hAnsi="宋体" w:eastAsia="仿宋_GB2312"/>
          <w:sz w:val="32"/>
          <w:szCs w:val="32"/>
          <w:lang w:eastAsia="zh-CN"/>
        </w:rPr>
        <w:t>（</w:t>
      </w:r>
      <w:r>
        <w:rPr>
          <w:rFonts w:hint="eastAsia" w:ascii="仿宋_GB2312" w:hAnsi="宋体" w:eastAsia="仿宋_GB2312"/>
          <w:sz w:val="32"/>
          <w:szCs w:val="32"/>
          <w:lang w:val="en-US" w:eastAsia="zh-CN"/>
        </w:rPr>
        <w:t>包括</w:t>
      </w:r>
      <w:r>
        <w:rPr>
          <w:rFonts w:hint="eastAsia" w:ascii="仿宋_GB2312" w:hAnsi="仿宋_GB2312" w:eastAsia="仿宋_GB2312" w:cs="仿宋_GB2312"/>
          <w:sz w:val="32"/>
          <w:szCs w:val="32"/>
          <w:lang w:val="en-US" w:eastAsia="zh-CN"/>
        </w:rPr>
        <w:t>：1、地上安装：火灾自动报警系统、消防设备电源监控系统、电气火灾监控系统、防火门监控系统(不含防火门安装）、冷凝、消火栓、喷淋（含楼顶18升水箱）、暖通、室外消火栓系统；2、地下安装：电气火灾监控系统、消防设备电源监控系统照明系统、火灾自动报警系统、车库一氧化碳检测系统、气体灭火系统、水泵房、压力排水、消火栓、喷淋、暖通）按设计图纸要求及更改文件与投标清单要求的项目。</w:t>
      </w:r>
    </w:p>
    <w:p>
      <w:pPr>
        <w:keepNext w:val="0"/>
        <w:keepLines w:val="0"/>
        <w:widowControl/>
        <w:numPr>
          <w:ilvl w:val="0"/>
          <w:numId w:val="2"/>
        </w:numPr>
        <w:suppressLineNumbers w:val="0"/>
        <w:ind w:firstLine="640" w:firstLineChars="200"/>
        <w:jc w:val="left"/>
        <w:textAlignment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所以材料必须符合国标，消防控制室应有消防系统控制逻辑关系图，设备使用说明书、系统操作规程、系统和设备维护保养制度。需要以上制度上墙。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3）中标人需提供施工使用的主要材料其中包括：管材管件、电线、桥架电箱、开关插座、切割机、电焊机、热熔器、握弯器、切割片、焊条、架子、锤、钳子、螺丝刀、探管器等其他辅助材料。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工程质量要求：</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①按消防安装工程施工验收规范、规程操作标准进行施工。经有关部门验收达到合格以上标准。</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②中标人必须严格按施工设计图纸和更改文件要求施工，若不按设计图纸要求及标书定立的各种材料品牌、型号规格的材料施工造成返工重做，其所造成的工料费损失由中标人承担。且所用材料必须有合格产品证书及检验报告。质保资料和内业资料应齐全。</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③中标人施工前后要做到完工场清，及时预埋安装。主体班组施工后中标人派人打凿造成修补的工料费由中标人承担。</w:t>
      </w:r>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三、投标文件递交</w:t>
      </w:r>
    </w:p>
    <w:p>
      <w:pPr>
        <w:numPr>
          <w:ilvl w:val="0"/>
          <w:numId w:val="0"/>
        </w:num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1、投标人应将投标文件密封加盖章。</w:t>
      </w:r>
    </w:p>
    <w:p>
      <w:pPr>
        <w:numPr>
          <w:ilvl w:val="0"/>
          <w:numId w:val="0"/>
        </w:num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2、所以封袋上都可以写明投标人名称和联系方式。</w:t>
      </w:r>
    </w:p>
    <w:p>
      <w:pPr>
        <w:numPr>
          <w:ilvl w:val="0"/>
          <w:numId w:val="0"/>
        </w:numPr>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3、投标人应在投标须知前在规定的时间前将投标文件递交到指定地点。</w:t>
      </w:r>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jc w:val="left"/>
        <w:rPr>
          <w:rFonts w:hint="eastAsia"/>
          <w:lang w:val="en-US" w:eastAsia="zh-CN"/>
        </w:rPr>
        <w:sectPr>
          <w:pgSz w:w="11906" w:h="16838"/>
          <w:pgMar w:top="1440" w:right="1800" w:bottom="1440" w:left="1800" w:header="851" w:footer="992" w:gutter="0"/>
          <w:cols w:space="425" w:num="1"/>
          <w:docGrid w:type="lines" w:linePitch="312" w:charSpace="0"/>
        </w:sectPr>
      </w:pPr>
    </w:p>
    <w:p>
      <w:pPr>
        <w:numPr>
          <w:ilvl w:val="0"/>
          <w:numId w:val="0"/>
        </w:numPr>
        <w:jc w:val="left"/>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ascii="仿宋_GB2312" w:hAnsi="仿宋_GB2312" w:eastAsia="仿宋_GB2312" w:cs="仿宋_GB2312"/>
          <w:b/>
          <w:bCs/>
          <w:sz w:val="32"/>
          <w:szCs w:val="32"/>
          <w:lang w:val="en-US" w:eastAsia="zh-CN"/>
        </w:rPr>
        <w:t>四、 工程量及控制价</w:t>
      </w:r>
      <w:r>
        <w:rPr>
          <w:rFonts w:hint="eastAsia" w:ascii="宋体" w:hAnsi="宋体" w:cs="宋体"/>
          <w:b/>
          <w:bCs w:val="0"/>
          <w:color w:val="000000" w:themeColor="text1"/>
          <w:kern w:val="0"/>
          <w:sz w:val="36"/>
          <w:szCs w:val="36"/>
          <w:lang w:val="en-US" w:eastAsia="zh-CN"/>
          <w14:textFill>
            <w14:solidFill>
              <w14:schemeClr w14:val="tx1"/>
            </w14:solidFill>
          </w14:textFill>
        </w:rPr>
        <w:t xml:space="preserve">      </w:t>
      </w:r>
    </w:p>
    <w:p>
      <w:pPr>
        <w:jc w:val="center"/>
        <w:rPr>
          <w:rFonts w:hint="eastAsia" w:ascii="宋体" w:hAnsi="宋体" w:cs="宋体"/>
          <w:b/>
          <w:bCs w:val="0"/>
          <w:color w:val="000000" w:themeColor="text1"/>
          <w:kern w:val="0"/>
          <w:sz w:val="52"/>
          <w:szCs w:val="52"/>
          <w:lang w:eastAsia="zh-CN"/>
          <w14:textFill>
            <w14:solidFill>
              <w14:schemeClr w14:val="tx1"/>
            </w14:solidFill>
          </w14:textFill>
        </w:rPr>
      </w:pPr>
      <w:r>
        <w:rPr>
          <w:rFonts w:hint="eastAsia" w:ascii="宋体" w:hAnsi="宋体" w:cs="宋体"/>
          <w:b/>
          <w:bCs w:val="0"/>
          <w:color w:val="000000" w:themeColor="text1"/>
          <w:kern w:val="0"/>
          <w:sz w:val="44"/>
          <w:szCs w:val="44"/>
          <w:lang w:val="en-US" w:eastAsia="zh-CN"/>
          <w14:textFill>
            <w14:solidFill>
              <w14:schemeClr w14:val="tx1"/>
            </w14:solidFill>
          </w14:textFill>
        </w:rPr>
        <w:t>控制价</w:t>
      </w:r>
    </w:p>
    <w:tbl>
      <w:tblPr>
        <w:tblStyle w:val="6"/>
        <w:tblW w:w="138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3"/>
        <w:gridCol w:w="5007"/>
        <w:gridCol w:w="1755"/>
        <w:gridCol w:w="795"/>
        <w:gridCol w:w="2010"/>
        <w:gridCol w:w="2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3"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项目</w:t>
            </w:r>
          </w:p>
        </w:tc>
        <w:tc>
          <w:tcPr>
            <w:tcW w:w="5007" w:type="dxa"/>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项目特征描述</w:t>
            </w:r>
          </w:p>
        </w:tc>
        <w:tc>
          <w:tcPr>
            <w:tcW w:w="1755"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暂定工程量</w:t>
            </w:r>
          </w:p>
        </w:tc>
        <w:tc>
          <w:tcPr>
            <w:tcW w:w="795"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单位</w:t>
            </w:r>
          </w:p>
        </w:tc>
        <w:tc>
          <w:tcPr>
            <w:tcW w:w="2010"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控制单价（元）</w:t>
            </w:r>
          </w:p>
        </w:tc>
        <w:tc>
          <w:tcPr>
            <w:tcW w:w="2985"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93" w:type="dxa"/>
            <w:vAlign w:val="center"/>
          </w:tcPr>
          <w:p>
            <w:pPr>
              <w:keepNext w:val="0"/>
              <w:keepLines w:val="0"/>
              <w:widowControl/>
              <w:suppressLineNumbers w:val="0"/>
              <w:spacing w:line="360" w:lineRule="auto"/>
              <w:ind w:left="239" w:leftChars="114" w:firstLine="0" w:firstLineChars="0"/>
              <w:jc w:val="center"/>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32"/>
                <w:szCs w:val="32"/>
                <w:u w:val="none"/>
                <w:lang w:val="en-US" w:eastAsia="zh-CN"/>
              </w:rPr>
              <w:t>消防  工程</w:t>
            </w:r>
          </w:p>
        </w:tc>
        <w:tc>
          <w:tcPr>
            <w:tcW w:w="5007" w:type="dxa"/>
            <w:vAlign w:val="center"/>
          </w:tcPr>
          <w:p>
            <w:pPr>
              <w:keepNext w:val="0"/>
              <w:keepLines w:val="0"/>
              <w:widowControl/>
              <w:suppressLineNumbers w:val="0"/>
              <w:spacing w:line="360" w:lineRule="auto"/>
              <w:jc w:val="both"/>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地上安装：</w:t>
            </w:r>
          </w:p>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1、火灾自动报警系统；2、消防设备电源监控系统；3、电气火灾监控系统；4、防火门监控系统(不含防火门安装）；5、冷凝；6、消火栓；7、喷淋；8、暖通；9、室外消火栓系统</w:t>
            </w:r>
          </w:p>
          <w:p>
            <w:pPr>
              <w:keepNext w:val="0"/>
              <w:keepLines w:val="0"/>
              <w:widowControl/>
              <w:suppressLineNumbers w:val="0"/>
              <w:spacing w:line="360" w:lineRule="auto"/>
              <w:jc w:val="both"/>
              <w:textAlignment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地下安装：</w:t>
            </w:r>
          </w:p>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1、电气火灾监控系统；2、消防设备电源监控系统照明系统；3、火灾自动报警系统；4、车库一氧化碳检测系统；5、气体灭火系统；6、水泵房；7、压力排水；8、消火栓；9、喷淋；10、暖通</w:t>
            </w:r>
          </w:p>
        </w:tc>
        <w:tc>
          <w:tcPr>
            <w:tcW w:w="1755"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9136</w:t>
            </w:r>
          </w:p>
        </w:tc>
        <w:tc>
          <w:tcPr>
            <w:tcW w:w="795"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w:t>
            </w:r>
          </w:p>
        </w:tc>
        <w:tc>
          <w:tcPr>
            <w:tcW w:w="2010"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135</w:t>
            </w:r>
          </w:p>
        </w:tc>
        <w:tc>
          <w:tcPr>
            <w:tcW w:w="2985"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配件必须采用一线品牌（例：系统：泛海三江等，管道：华岐等）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00" w:type="dxa"/>
            <w:gridSpan w:val="2"/>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合计</w:t>
            </w:r>
          </w:p>
        </w:tc>
        <w:tc>
          <w:tcPr>
            <w:tcW w:w="7545" w:type="dxa"/>
            <w:gridSpan w:val="4"/>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8"/>
                <w:szCs w:val="28"/>
                <w:u w:val="none"/>
                <w:lang w:val="en-US" w:eastAsia="zh-CN"/>
              </w:rPr>
            </w:pPr>
          </w:p>
        </w:tc>
      </w:tr>
    </w:tbl>
    <w:p>
      <w:p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（除电缆外其他一切配件均含在控制价内）</w:t>
      </w:r>
    </w:p>
    <w:p>
      <w:pPr>
        <w:jc w:val="both"/>
        <w:rPr>
          <w:rFonts w:hint="default" w:ascii="宋体" w:hAnsi="宋体" w:cs="宋体"/>
          <w:b/>
          <w:bCs w:val="0"/>
          <w:color w:val="000000" w:themeColor="text1"/>
          <w:kern w:val="0"/>
          <w:sz w:val="36"/>
          <w:szCs w:val="36"/>
          <w:lang w:val="en-US" w:eastAsia="zh-CN"/>
          <w14:textFill>
            <w14:solidFill>
              <w14:schemeClr w14:val="tx1"/>
            </w14:solidFill>
          </w14:textFill>
        </w:rPr>
      </w:pPr>
      <w:r>
        <w:rPr>
          <w:rFonts w:hint="eastAsia" w:ascii="仿宋_GB2312" w:hAnsi="仿宋_GB2312" w:eastAsia="仿宋_GB2312" w:cs="仿宋_GB2312"/>
          <w:b/>
          <w:bCs/>
          <w:sz w:val="32"/>
          <w:szCs w:val="32"/>
          <w:lang w:val="en-US" w:eastAsia="zh-CN"/>
        </w:rPr>
        <w:t>报价的需写明使用材料的品牌并出具相关产品合格证书，符合二次送检的规程规范</w:t>
      </w:r>
    </w:p>
    <w:p>
      <w:pPr>
        <w:numPr>
          <w:ilvl w:val="0"/>
          <w:numId w:val="0"/>
        </w:numPr>
        <w:jc w:val="left"/>
        <w:rPr>
          <w:rFonts w:hint="eastAsia"/>
          <w:lang w:val="en-US" w:eastAsia="zh-CN"/>
        </w:rPr>
        <w:sectPr>
          <w:pgSz w:w="16838" w:h="11906" w:orient="landscape"/>
          <w:pgMar w:top="1800" w:right="1440" w:bottom="1800" w:left="1440" w:header="851" w:footer="992" w:gutter="0"/>
          <w:cols w:space="425" w:num="1"/>
          <w:docGrid w:type="lines" w:linePitch="312" w:charSpace="0"/>
        </w:sectPr>
      </w:pPr>
    </w:p>
    <w:p>
      <w:pPr>
        <w:widowControl/>
        <w:spacing w:line="500" w:lineRule="exact"/>
        <w:jc w:val="center"/>
        <w:rPr>
          <w:rFonts w:hint="eastAsia" w:ascii="宋体" w:hAnsi="宋体" w:cs="宋体"/>
          <w:b/>
          <w:bCs w:val="0"/>
          <w:color w:val="000000" w:themeColor="text1"/>
          <w:kern w:val="0"/>
          <w:sz w:val="44"/>
          <w:szCs w:val="44"/>
          <w:lang w:eastAsia="zh-CN"/>
          <w14:textFill>
            <w14:solidFill>
              <w14:schemeClr w14:val="tx1"/>
            </w14:solidFill>
          </w14:textFill>
        </w:rPr>
      </w:pPr>
      <w:r>
        <w:rPr>
          <w:rFonts w:hint="eastAsia" w:ascii="宋体" w:hAnsi="宋体" w:cs="宋体"/>
          <w:b/>
          <w:bCs w:val="0"/>
          <w:color w:val="000000" w:themeColor="text1"/>
          <w:kern w:val="0"/>
          <w:sz w:val="44"/>
          <w:szCs w:val="44"/>
          <w:lang w:eastAsia="zh-CN"/>
          <w14:textFill>
            <w14:solidFill>
              <w14:schemeClr w14:val="tx1"/>
            </w14:solidFill>
          </w14:textFill>
        </w:rPr>
        <w:t>报价表</w:t>
      </w:r>
    </w:p>
    <w:p>
      <w:pPr>
        <w:widowControl/>
        <w:spacing w:line="500" w:lineRule="exact"/>
        <w:jc w:val="center"/>
        <w:rPr>
          <w:rFonts w:hint="eastAsia" w:ascii="宋体" w:hAnsi="宋体" w:cs="宋体"/>
          <w:b/>
          <w:bCs w:val="0"/>
          <w:color w:val="000000" w:themeColor="text1"/>
          <w:kern w:val="0"/>
          <w:sz w:val="44"/>
          <w:szCs w:val="44"/>
          <w:lang w:eastAsia="zh-CN"/>
          <w14:textFill>
            <w14:solidFill>
              <w14:schemeClr w14:val="tx1"/>
            </w14:solidFill>
          </w14:textFill>
        </w:rPr>
      </w:pPr>
    </w:p>
    <w:tbl>
      <w:tblPr>
        <w:tblStyle w:val="6"/>
        <w:tblW w:w="138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3"/>
        <w:gridCol w:w="4752"/>
        <w:gridCol w:w="2010"/>
        <w:gridCol w:w="795"/>
        <w:gridCol w:w="2010"/>
        <w:gridCol w:w="2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93"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项目</w:t>
            </w:r>
          </w:p>
        </w:tc>
        <w:tc>
          <w:tcPr>
            <w:tcW w:w="4752" w:type="dxa"/>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项目特征描述</w:t>
            </w:r>
          </w:p>
        </w:tc>
        <w:tc>
          <w:tcPr>
            <w:tcW w:w="2010"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暂定工程量</w:t>
            </w:r>
          </w:p>
        </w:tc>
        <w:tc>
          <w:tcPr>
            <w:tcW w:w="795"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单位</w:t>
            </w:r>
          </w:p>
        </w:tc>
        <w:tc>
          <w:tcPr>
            <w:tcW w:w="2010"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控制单价（元）</w:t>
            </w:r>
          </w:p>
        </w:tc>
        <w:tc>
          <w:tcPr>
            <w:tcW w:w="2985"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3" w:type="dxa"/>
            <w:vAlign w:val="center"/>
          </w:tcPr>
          <w:p>
            <w:pPr>
              <w:keepNext w:val="0"/>
              <w:keepLines w:val="0"/>
              <w:widowControl/>
              <w:suppressLineNumbers w:val="0"/>
              <w:spacing w:line="360" w:lineRule="auto"/>
              <w:ind w:left="239" w:leftChars="114" w:firstLine="0" w:firstLineChars="0"/>
              <w:jc w:val="center"/>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32"/>
                <w:szCs w:val="32"/>
                <w:u w:val="none"/>
                <w:lang w:val="en-US" w:eastAsia="zh-CN"/>
              </w:rPr>
              <w:t>消防  工程</w:t>
            </w:r>
          </w:p>
        </w:tc>
        <w:tc>
          <w:tcPr>
            <w:tcW w:w="4752" w:type="dxa"/>
            <w:vAlign w:val="center"/>
          </w:tcPr>
          <w:p>
            <w:pPr>
              <w:keepNext w:val="0"/>
              <w:keepLines w:val="0"/>
              <w:widowControl/>
              <w:suppressLineNumbers w:val="0"/>
              <w:spacing w:line="360" w:lineRule="auto"/>
              <w:jc w:val="both"/>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地上安装：</w:t>
            </w:r>
          </w:p>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1、火灾自动报警系统；2、消防设备电源监控系统；3、电气火灾监控系统；4、防火门监控系统(不含防火门安装）；5、冷凝；6、消火栓；7、喷淋；8、暖通；9、室外消火栓系统</w:t>
            </w:r>
          </w:p>
          <w:p>
            <w:pPr>
              <w:keepNext w:val="0"/>
              <w:keepLines w:val="0"/>
              <w:widowControl/>
              <w:suppressLineNumbers w:val="0"/>
              <w:spacing w:line="360" w:lineRule="auto"/>
              <w:jc w:val="both"/>
              <w:textAlignment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地下安装：</w:t>
            </w:r>
          </w:p>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1、电气火灾监控系统；2、消防设备电源监控系统照明系统；3、火灾自动报警系统；4、车库一氧化碳检测系统；5、气体灭火系统；6、水泵房；7、压力排水；8、消火栓；9、喷淋；10、暖通</w:t>
            </w:r>
          </w:p>
        </w:tc>
        <w:tc>
          <w:tcPr>
            <w:tcW w:w="2010"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9136</w:t>
            </w:r>
          </w:p>
        </w:tc>
        <w:tc>
          <w:tcPr>
            <w:tcW w:w="795"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w:t>
            </w:r>
          </w:p>
        </w:tc>
        <w:tc>
          <w:tcPr>
            <w:tcW w:w="2010"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8"/>
                <w:szCs w:val="28"/>
                <w:u w:val="none"/>
                <w:lang w:val="en-US" w:eastAsia="zh-CN"/>
              </w:rPr>
            </w:pPr>
          </w:p>
        </w:tc>
        <w:tc>
          <w:tcPr>
            <w:tcW w:w="2985"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配件必须采用一线品牌（如：系统：泛海三江等，管道：华岐）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45" w:type="dxa"/>
            <w:gridSpan w:val="2"/>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合计</w:t>
            </w:r>
          </w:p>
        </w:tc>
        <w:tc>
          <w:tcPr>
            <w:tcW w:w="7800" w:type="dxa"/>
            <w:gridSpan w:val="4"/>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8"/>
                <w:szCs w:val="28"/>
                <w:u w:val="none"/>
                <w:lang w:val="en-US" w:eastAsia="zh-CN"/>
              </w:rPr>
            </w:pPr>
          </w:p>
        </w:tc>
      </w:tr>
    </w:tbl>
    <w:p>
      <w:p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（除电缆外其他一切配件均含在控制价内）</w:t>
      </w:r>
    </w:p>
    <w:p>
      <w:pPr>
        <w:jc w:val="both"/>
        <w:rPr>
          <w:rFonts w:hint="default" w:ascii="宋体" w:hAnsi="宋体" w:cs="宋体"/>
          <w:b/>
          <w:bCs w:val="0"/>
          <w:color w:val="000000" w:themeColor="text1"/>
          <w:kern w:val="0"/>
          <w:sz w:val="36"/>
          <w:szCs w:val="36"/>
          <w:lang w:val="en-US" w:eastAsia="zh-CN"/>
          <w14:textFill>
            <w14:solidFill>
              <w14:schemeClr w14:val="tx1"/>
            </w14:solidFill>
          </w14:textFill>
        </w:rPr>
      </w:pPr>
      <w:r>
        <w:rPr>
          <w:rFonts w:hint="eastAsia" w:ascii="仿宋_GB2312" w:hAnsi="仿宋_GB2312" w:eastAsia="仿宋_GB2312" w:cs="仿宋_GB2312"/>
          <w:b/>
          <w:bCs/>
          <w:sz w:val="32"/>
          <w:szCs w:val="32"/>
          <w:lang w:val="en-US" w:eastAsia="zh-CN"/>
        </w:rPr>
        <w:t>报价的需写明使用材料的品牌并出具相关产品合格证书，符合二次送检的规程规范</w:t>
      </w:r>
    </w:p>
    <w:p>
      <w:pPr>
        <w:widowControl/>
        <w:spacing w:line="500" w:lineRule="exact"/>
        <w:jc w:val="center"/>
        <w:rPr>
          <w:rFonts w:hint="eastAsia" w:ascii="宋体" w:hAnsi="宋体" w:cs="宋体"/>
          <w:b/>
          <w:bCs w:val="0"/>
          <w:color w:val="000000" w:themeColor="text1"/>
          <w:kern w:val="0"/>
          <w:sz w:val="44"/>
          <w:szCs w:val="44"/>
          <w:lang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我公司已在报价前已充分进行了现场踏勘、测量、风险评估及工期提前等所有风险，按项目现场图纸设计要求提交以上报价。</w:t>
      </w:r>
      <w:r>
        <w:rPr>
          <w:rFonts w:hint="eastAsia"/>
          <w:b w:val="0"/>
          <w:bCs w:val="0"/>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7680" w:firstLineChars="24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联系人电话：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二〇二二年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p>
    <w:p>
      <w:pPr>
        <w:widowControl/>
        <w:spacing w:line="500" w:lineRule="exact"/>
        <w:jc w:val="center"/>
        <w:rPr>
          <w:rFonts w:hint="eastAsia" w:ascii="宋体" w:hAnsi="宋体" w:cs="宋体"/>
          <w:b/>
          <w:bCs w:val="0"/>
          <w:color w:val="000000" w:themeColor="text1"/>
          <w:kern w:val="0"/>
          <w:sz w:val="44"/>
          <w:szCs w:val="44"/>
          <w:lang w:eastAsia="zh-CN"/>
          <w14:textFill>
            <w14:solidFill>
              <w14:schemeClr w14:val="tx1"/>
            </w14:solidFill>
          </w14:textFill>
        </w:rPr>
        <w:sectPr>
          <w:pgSz w:w="16838" w:h="11906" w:orient="landscape"/>
          <w:pgMar w:top="1800" w:right="1440" w:bottom="1800" w:left="1440" w:header="851" w:footer="992" w:gutter="0"/>
          <w:cols w:space="425" w:num="1"/>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default" w:ascii="仿宋_GB2312" w:hAnsi="仿宋_GB2312" w:eastAsia="仿宋_GB2312" w:cs="仿宋_GB2312"/>
          <w:b w:val="0"/>
          <w:bCs w:val="0"/>
          <w:sz w:val="32"/>
          <w:szCs w:val="32"/>
          <w:lang w:val="en-US" w:eastAsia="zh-CN"/>
        </w:rPr>
      </w:pP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758475"/>
    <w:multiLevelType w:val="singleLevel"/>
    <w:tmpl w:val="B7758475"/>
    <w:lvl w:ilvl="0" w:tentative="0">
      <w:start w:val="1"/>
      <w:numFmt w:val="decimal"/>
      <w:suff w:val="nothing"/>
      <w:lvlText w:val="%1）"/>
      <w:lvlJc w:val="left"/>
    </w:lvl>
  </w:abstractNum>
  <w:abstractNum w:abstractNumId="1">
    <w:nsid w:val="4027C8AB"/>
    <w:multiLevelType w:val="singleLevel"/>
    <w:tmpl w:val="4027C8AB"/>
    <w:lvl w:ilvl="0" w:tentative="0">
      <w:start w:val="4"/>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F3654D"/>
    <w:rsid w:val="1C2F4C4D"/>
    <w:rsid w:val="20C63684"/>
    <w:rsid w:val="259B52D7"/>
    <w:rsid w:val="2FFC5977"/>
    <w:rsid w:val="303D3977"/>
    <w:rsid w:val="31830EB8"/>
    <w:rsid w:val="445826E4"/>
    <w:rsid w:val="47E4690E"/>
    <w:rsid w:val="4EF13C23"/>
    <w:rsid w:val="5A056A12"/>
    <w:rsid w:val="5D1551BE"/>
    <w:rsid w:val="696A4E21"/>
    <w:rsid w:val="6B11223D"/>
    <w:rsid w:val="6ED04464"/>
    <w:rsid w:val="768E3D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Calibri" w:hAnsi="Calibri" w:eastAsia="仿宋"/>
      <w:sz w:val="32"/>
    </w:rPr>
  </w:style>
  <w:style w:type="paragraph" w:styleId="3">
    <w:name w:val="Body Text Indent"/>
    <w:basedOn w:val="1"/>
    <w:next w:val="2"/>
    <w:qFormat/>
    <w:uiPriority w:val="0"/>
    <w:pPr>
      <w:spacing w:after="120"/>
      <w:ind w:left="420" w:leftChars="200"/>
    </w:pPr>
    <w:rPr>
      <w:rFonts w:eastAsia="宋体" w:cs="Times New Roman"/>
      <w:sz w:val="21"/>
    </w:rPr>
  </w:style>
  <w:style w:type="paragraph" w:styleId="4">
    <w:name w:val="Body Text First Indent 2"/>
    <w:basedOn w:val="3"/>
    <w:qFormat/>
    <w:uiPriority w:val="0"/>
    <w:pPr>
      <w:ind w:firstLine="420" w:firstLineChars="200"/>
    </w:pPr>
    <w:rPr>
      <w:szCs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2700</Words>
  <Characters>2797</Characters>
  <Lines>0</Lines>
  <Paragraphs>0</Paragraphs>
  <TotalTime>5</TotalTime>
  <ScaleCrop>false</ScaleCrop>
  <LinksUpToDate>false</LinksUpToDate>
  <CharactersWithSpaces>2930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2022-03-26T11:35:00Z</dcterms:created>
  <dc:creator>Administrator</dc:creator>
  <cp:lastModifiedBy>雅白白白白</cp:lastModifiedBy>
  <cp:lastPrinted>2022-04-16T08:04:00Z</cp:lastPrinted>
  <dcterms:modified xsi:type="dcterms:W3CDTF">2022-04-16T09:02:05Z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7B71FDC1B41C4DEC9FA2B2272EE8B4E1</vt:lpwstr>
  </property>
</Properties>
</file>