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default"/>
          <w:b/>
          <w:bCs/>
          <w:sz w:val="44"/>
          <w:szCs w:val="52"/>
          <w:lang w:val="en-US" w:eastAsia="zh-CN"/>
        </w:rPr>
      </w:pPr>
      <w:r>
        <w:rPr>
          <w:rFonts w:hint="eastAsia"/>
          <w:b/>
          <w:bCs/>
          <w:sz w:val="44"/>
          <w:szCs w:val="52"/>
          <w:lang w:val="en-US" w:eastAsia="zh-CN"/>
        </w:rPr>
        <w:t xml:space="preserve">江西鑫昌建设工程有限公司关于麻州滨江新区、阳光路文清路、增坑路及台商工业园标示标牌采购及安装项目招标函 </w:t>
      </w:r>
    </w:p>
    <w:p>
      <w:pPr>
        <w:jc w:val="center"/>
        <w:rPr>
          <w:rFonts w:hint="default" w:eastAsiaTheme="minorEastAsia"/>
          <w:b/>
          <w:bCs/>
          <w:sz w:val="40"/>
          <w:szCs w:val="48"/>
          <w:lang w:val="en-US" w:eastAsia="zh-CN"/>
        </w:rPr>
      </w:pPr>
      <w:r>
        <w:rPr>
          <w:rFonts w:hint="eastAsia"/>
          <w:b/>
          <w:bCs/>
          <w:sz w:val="40"/>
          <w:szCs w:val="48"/>
          <w:lang w:val="en-US" w:eastAsia="zh-CN"/>
        </w:rPr>
        <w:t xml:space="preserve"> </w:t>
      </w:r>
    </w:p>
    <w:p>
      <w:pPr>
        <w:jc w:val="left"/>
        <w:rPr>
          <w:rFonts w:hint="default" w:ascii="仿宋" w:hAnsi="仿宋" w:eastAsia="仿宋" w:cs="仿宋"/>
          <w:b/>
          <w:bCs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6"/>
          <w:lang w:val="en-US" w:eastAsia="zh-CN"/>
        </w:rPr>
        <w:t>一、报价人须知</w:t>
      </w:r>
    </w:p>
    <w:tbl>
      <w:tblPr>
        <w:tblStyle w:val="5"/>
        <w:tblpPr w:leftFromText="180" w:rightFromText="180" w:vertAnchor="text" w:horzAnchor="page" w:tblpX="1462" w:tblpY="60"/>
        <w:tblOverlap w:val="never"/>
        <w:tblW w:w="95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1764"/>
        <w:gridCol w:w="6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项号</w:t>
            </w:r>
          </w:p>
        </w:tc>
        <w:tc>
          <w:tcPr>
            <w:tcW w:w="1764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内 容</w:t>
            </w:r>
          </w:p>
        </w:tc>
        <w:tc>
          <w:tcPr>
            <w:tcW w:w="6885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说明与要求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招标人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江西鑫昌建设工程有限公司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麻州滨江新区、阳光路文清路、增坑路及台商工业园，采购及安装标示标牌项目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项目地点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会昌县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招标范围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采购及安装标示标牌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资金来源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自筹项目资金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工艺要求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达到质量验收规范要求，并由业主、监理及相关部门验收合格。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工期</w:t>
            </w:r>
            <w:r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要求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两个月内完工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报价时间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2021年6月4日至2021年6月8日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付款方式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货到并验收合格后付60%，安装完成并验收合格付至95%，余5%质保期（质保期1年）后付清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计价方式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固定单价包干</w:t>
            </w:r>
            <w:r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（含</w:t>
            </w: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增值税专用发票</w:t>
            </w:r>
            <w:r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材料场内转运、吊车费、装卸费、辅材、机械费、安装费</w:t>
            </w:r>
            <w:r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等）</w:t>
            </w: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结算以实际工程量*单价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联系人</w:t>
            </w:r>
          </w:p>
        </w:tc>
        <w:tc>
          <w:tcPr>
            <w:tcW w:w="6885" w:type="dxa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招标联系人</w:t>
            </w: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：黄先生 0797-7213952 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陈先生： 18279182164（麻州滨江新区负责人）曾先生： 15779890122（阳光路文清路负责人）</w:t>
            </w:r>
          </w:p>
          <w:p>
            <w:pPr>
              <w:jc w:val="both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吴先生：18942378481（曾坑路负责人）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开标时间地点及举报电话</w:t>
            </w:r>
          </w:p>
        </w:tc>
        <w:tc>
          <w:tcPr>
            <w:tcW w:w="6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  <w:t>开标时间为：2021年6月8号上午10:30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  <w:t>地点：会昌迎宾馆8号楼二楼会议室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  <w:t>监督举报电话（县纪委派驻第十纪检监察组）：0797-5623881</w:t>
            </w:r>
          </w:p>
        </w:tc>
      </w:tr>
    </w:tbl>
    <w:p>
      <w:pPr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二、报价要求及中标原则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1、报价要求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1.1、投标单价为包干综合单价，客户报价后我公司即视为报价方在报价前已充分进行了现场踏勘、测量、风险评估及工期提前等所有风险。任何要求</w:t>
      </w:r>
      <w:bookmarkStart w:id="0" w:name="_Hlk529951313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增减、变更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单价的，将不予认可。除非出现工程新增标牌且未确定单价时，双方可协商调整。增加的工程量按双方协商的费用进行结算，增减、变更必须双方另行书面签订协议并加盖公章，否则不予认可。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1.2、报价文件由报价表（参照附件格式）、法人身份证复印件、公司营业执照复印件，开户许可证复印件、复印件都需加盖公章，报价必须密封否则无效。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1.3、提供虚假资料的取消其投标及中标资格；开标时不足3家投标单位按招标失败处理。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2、投标保证金</w:t>
      </w:r>
    </w:p>
    <w:p>
      <w:pPr>
        <w:numPr>
          <w:ilvl w:val="0"/>
          <w:numId w:val="0"/>
        </w:numPr>
        <w:ind w:lef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2.1</w:t>
      </w:r>
      <w:r>
        <w:rPr>
          <w:rFonts w:hint="eastAsia" w:ascii="仿宋_GB2312" w:hAnsi="仿宋_GB2312" w:eastAsia="仿宋_GB2312" w:cs="仿宋_GB2312"/>
          <w:sz w:val="32"/>
          <w:szCs w:val="32"/>
        </w:rPr>
        <w:t>响应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报价人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sz w:val="32"/>
          <w:szCs w:val="32"/>
        </w:rPr>
        <w:t>保证金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需</w:t>
      </w:r>
      <w:r>
        <w:rPr>
          <w:rFonts w:hint="eastAsia" w:ascii="仿宋_GB2312" w:hAnsi="仿宋_GB2312" w:eastAsia="仿宋_GB2312" w:cs="仿宋_GB2312"/>
          <w:sz w:val="32"/>
          <w:szCs w:val="32"/>
        </w:rPr>
        <w:t>一次性足额缴纳人民币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壹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万元整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sz w:val="32"/>
          <w:szCs w:val="32"/>
        </w:rPr>
        <w:t>保证金由响应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报价人</w:t>
      </w:r>
      <w:r>
        <w:rPr>
          <w:rFonts w:hint="eastAsia" w:ascii="仿宋_GB2312" w:hAnsi="仿宋_GB2312" w:eastAsia="仿宋_GB2312" w:cs="仿宋_GB2312"/>
          <w:sz w:val="32"/>
          <w:szCs w:val="32"/>
        </w:rPr>
        <w:t>自主选择以支票、汇票、本票等非现金形式提交。以电汇等非现金形式提交者，须在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sz w:val="32"/>
          <w:szCs w:val="32"/>
        </w:rPr>
        <w:t>截止时间前到账，从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报价人</w:t>
      </w:r>
      <w:r>
        <w:rPr>
          <w:rFonts w:hint="eastAsia" w:ascii="仿宋_GB2312" w:hAnsi="仿宋_GB2312" w:eastAsia="仿宋_GB2312" w:cs="仿宋_GB2312"/>
          <w:sz w:val="32"/>
          <w:szCs w:val="32"/>
        </w:rPr>
        <w:t>（不得以分支机构等其他名义转入）的基本账户转入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我公司公账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（户名：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江西鑫昌建设工程有限公司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；开户行：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中国建设银行股份有限公司会昌支行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；账号：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36050181135000000071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否则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sz w:val="32"/>
          <w:szCs w:val="32"/>
        </w:rPr>
        <w:t>无效。各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报价人</w:t>
      </w:r>
      <w:r>
        <w:rPr>
          <w:rFonts w:hint="eastAsia" w:ascii="仿宋_GB2312" w:hAnsi="仿宋_GB2312" w:eastAsia="仿宋_GB2312" w:cs="仿宋_GB2312"/>
          <w:sz w:val="32"/>
          <w:szCs w:val="32"/>
        </w:rPr>
        <w:t>在银行转账（电汇）时，须充分考虑银行转账（电汇）的时间差风险，如同城转账、异地转账或汇款、跨行转账或电汇的时间要求。未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中标</w:t>
      </w:r>
      <w:r>
        <w:rPr>
          <w:rFonts w:hint="eastAsia" w:ascii="仿宋_GB2312" w:hAnsi="仿宋_GB2312" w:eastAsia="仿宋_GB2312" w:cs="仿宋_GB2312"/>
          <w:sz w:val="32"/>
          <w:szCs w:val="32"/>
        </w:rPr>
        <w:t>供应商以电汇等非现金形式提交的响应保证金,在《成交通知书》发出之日起五个工作日内按来款渠道直接无息退还。</w:t>
      </w:r>
    </w:p>
    <w:p>
      <w:pPr>
        <w:pStyle w:val="2"/>
        <w:rPr>
          <w:rFonts w:hint="eastAsia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2.2中标公司转入我司的投标保证金将成为该项目的履约保证金。</w:t>
      </w:r>
    </w:p>
    <w:p>
      <w:pPr>
        <w:numPr>
          <w:ilvl w:val="0"/>
          <w:numId w:val="0"/>
        </w:numPr>
        <w:spacing w:line="360" w:lineRule="auto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3、中标原则：</w:t>
      </w:r>
    </w:p>
    <w:p>
      <w:pPr>
        <w:numPr>
          <w:ilvl w:val="0"/>
          <w:numId w:val="0"/>
        </w:numPr>
        <w:jc w:val="left"/>
        <w:rPr>
          <w:rFonts w:hint="eastAsia" w:ascii="宋体" w:hAnsi="宋体" w:cs="宋体"/>
          <w:b/>
          <w:bCs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符合报价文件且扣除增值税专票税率后总价最低者中标。</w:t>
      </w:r>
    </w:p>
    <w:p>
      <w:pPr>
        <w:numPr>
          <w:ilvl w:val="0"/>
          <w:numId w:val="1"/>
        </w:num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工程量及控制价</w:t>
      </w:r>
    </w:p>
    <w:tbl>
      <w:tblPr>
        <w:tblStyle w:val="5"/>
        <w:tblW w:w="10035" w:type="dxa"/>
        <w:tblInd w:w="-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1485"/>
        <w:gridCol w:w="1005"/>
        <w:gridCol w:w="915"/>
        <w:gridCol w:w="5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5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备注材料规格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03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麻州滨江新区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路名牌标志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5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标牌版面1500*450*3mm*2块，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喷绘反光膜超强级（双面）0.96m2，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主杆φ75*4.5*2000mm,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底座法兰400*400*10mm,                                         基础锚板400*400*5mm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</w:trPr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人行横道标志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5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标牌版面三角形0.8m*0.8m*3mm，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贴0.64平方米一级反光膜，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主杆φ89*4*2700mm,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底座法兰300*300*20mm,                                      预埋件M20*849mm*4支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禁令三组合标志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5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标牌版面80cm*80cm*3.0mm*3块，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贴0.503m2*3反光膜，                                    主杆φ273*10*6500mm,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横杆φ152*10*3109mm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φ152*10*563mm,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底座法兰800*1200*20mm,                                           预埋件M30*1000mm*16支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单悬臂标志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标牌版面4.4*1.8m*3mm，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贴7.92平方米一级反光膜，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主杆φ325*14*7500mm ,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横杆φ180*10*5400mm*2根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φ180*10*410mm*2根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底座法兰1000*1000*20mm,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预埋件φ30*1500mm*12支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7" w:hRule="atLeast"/>
        </w:trPr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单悬臂标志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5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标牌版面4.5m*3.5m*3.0mm，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贴15.75平方米一级反光膜，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主杆φ325*14*8350mm,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横杆φ133*8*4948mm*3根,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φ133*8*705mm*3根,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底座法兰800*1200*20mm,                                         预埋件1333mm*M30*8支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035" w:type="dxa"/>
            <w:gridSpan w:val="5"/>
          </w:tcPr>
          <w:p>
            <w:pPr>
              <w:pStyle w:val="2"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阳光路、文清路、增坑路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5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备注材料规格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悬臂式F杆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标牌版面4.5m*3.5m*3.0mm厚，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IV类反光膜，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主杆Φ273mm*14mm*8.5m,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横杆Φ133mm*8mm*4.5m*3根,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底座法兰60cm*60cm*14mm,                                         预埋件M30*0.9m*4支  M30*1.6m*4支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Y型双悬臂式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标牌版面80cm*80cm*3.0mm厚*6块，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贴3M超工程级反光膜，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主杆Φ159mm*8.0mm*6.2m,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横杆Φ89mm*6.0mm*4.5m,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横杆Φ89mm*6.0mm*3.0m,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底座法兰50cm*50cm*20mm,                                      预埋件M30*1000mm*16支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Y型单悬臂式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标牌版面80cm*80cm*3.0mm厚*3块，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贴3M超工程级反光膜，                                    主杆Φ165mm*6.0mm*6.0m,                        横杆Φ89mm*4.0mm*4m,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底座法兰50cm*50cm*16mm,                                           预埋件M20mm*0.87m*12支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单立柱式人行道牌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5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标牌版面80cm*0.3mm厚*2块，贴一级反光膜，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主杆Φ89mm*4mm*3.55m ,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底座法兰30cm*30cm*14mm,                                             预埋件M20*0.7m*4支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115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警示桩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主杆Φ114mm*4.0mm*1.5，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底座法兰25cm*25cm*12mm,                                      反光膜 ：400mm*200mm 三级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膨胀螺栓：M16*150mm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5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备注材料规格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03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台商工业园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组合标志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标牌版面圆形φ600*3.0*2mm，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贴0.282m2*2反光膜，                                    主杆φ114*5*4000mm,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底座法兰300*300*10mm,                                      预埋件M20*700mm*4支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组合标志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标牌版面圆形φ600*3.0mm*3块，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贴0.282m2*3反光膜，                                    主杆φ159*6*5400mm,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弯杆φ76-133*4*5000mm,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节点杆φ133*4*160mm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底座法兰360*360*14mm,                                           预埋件M24*700mm*4支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人行横道标志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标牌版面正方形0.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m*0.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m*3mm，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贴0.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平方米一级反光膜，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主杆φ114*5*2800mm,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底座法兰300*300*10mm,                                      预埋件M20*700mm*4支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单悬臂标志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标牌版面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m*3mm，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贴10.08平方米一级反光膜，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主杆φ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*14*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00mm ,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横杆φ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*5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00mm*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φ1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底座法兰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*20mm,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预埋件φ30*1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00mm*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支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单悬臂标志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标牌版面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m*3.0mm，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贴4.45平方米一级反光膜，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主杆φ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*14*8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0mm,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横杆φ133*8*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mm*3根,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φ133*8*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mm*3根,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底座法兰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*20mm,                                         预埋件φ30*1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00mm*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支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单悬臂标志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标牌版面3.6*1.2m*3mm，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贴4.32平方米一级反光膜，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主杆φ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*14*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00mm ,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横杆φ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*4000mm*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φ1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底座法兰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*20mm,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预埋件φ30*1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00mm*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支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0035" w:type="dxa"/>
            <w:gridSpan w:val="5"/>
          </w:tcPr>
          <w:p>
            <w:pPr>
              <w:pStyle w:val="2"/>
              <w:spacing w:line="600" w:lineRule="auto"/>
              <w:ind w:left="0" w:leftChars="0" w:firstLine="0" w:firstLineChars="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  <w:t>综合最高限价：（1200000元）大写：壹佰贰拾万圆</w:t>
            </w:r>
          </w:p>
        </w:tc>
      </w:tr>
    </w:tbl>
    <w:p>
      <w:pPr>
        <w:pStyle w:val="2"/>
        <w:rPr>
          <w:rFonts w:hint="eastAsia"/>
          <w:lang w:eastAsia="zh-CN"/>
        </w:rPr>
      </w:pPr>
    </w:p>
    <w:p>
      <w:pPr>
        <w:widowControl/>
        <w:spacing w:line="500" w:lineRule="exact"/>
        <w:ind w:firstLine="200"/>
        <w:jc w:val="left"/>
        <w:rPr>
          <w:rFonts w:hint="eastAsia" w:ascii="宋体" w:hAnsi="宋体" w:cs="宋体"/>
          <w:b w:val="0"/>
          <w:bCs/>
          <w:color w:val="auto"/>
          <w:kern w:val="0"/>
          <w:sz w:val="27"/>
          <w:szCs w:val="27"/>
          <w:lang w:val="en-US" w:eastAsia="zh-CN"/>
        </w:rPr>
      </w:pPr>
      <w:r>
        <w:rPr>
          <w:rFonts w:hint="eastAsia" w:ascii="宋体" w:hAnsi="宋体" w:cs="宋体"/>
          <w:b w:val="0"/>
          <w:bCs/>
          <w:color w:val="auto"/>
          <w:kern w:val="0"/>
          <w:sz w:val="27"/>
          <w:szCs w:val="27"/>
          <w:lang w:val="en-US" w:eastAsia="zh-CN"/>
        </w:rPr>
        <w:t>注：固定单价包干</w:t>
      </w:r>
      <w:r>
        <w:rPr>
          <w:rFonts w:hint="default" w:ascii="宋体" w:hAnsi="宋体" w:cs="宋体"/>
          <w:b w:val="0"/>
          <w:bCs/>
          <w:color w:val="auto"/>
          <w:kern w:val="0"/>
          <w:sz w:val="27"/>
          <w:szCs w:val="27"/>
          <w:lang w:val="en-US" w:eastAsia="zh-CN"/>
        </w:rPr>
        <w:t>（含</w:t>
      </w:r>
      <w:r>
        <w:rPr>
          <w:rFonts w:hint="eastAsia" w:ascii="宋体" w:hAnsi="宋体" w:cs="宋体"/>
          <w:b w:val="0"/>
          <w:bCs/>
          <w:color w:val="auto"/>
          <w:kern w:val="0"/>
          <w:sz w:val="27"/>
          <w:szCs w:val="27"/>
          <w:lang w:val="en-US" w:eastAsia="zh-CN"/>
        </w:rPr>
        <w:t>增值税专用发票</w:t>
      </w:r>
      <w:r>
        <w:rPr>
          <w:rFonts w:hint="default" w:ascii="宋体" w:hAnsi="宋体" w:cs="宋体"/>
          <w:b w:val="0"/>
          <w:bCs/>
          <w:color w:val="auto"/>
          <w:kern w:val="0"/>
          <w:sz w:val="27"/>
          <w:szCs w:val="27"/>
          <w:lang w:val="en-US" w:eastAsia="zh-CN"/>
        </w:rPr>
        <w:t>、</w:t>
      </w:r>
      <w:r>
        <w:rPr>
          <w:rFonts w:hint="eastAsia" w:ascii="宋体" w:hAnsi="宋体" w:cs="宋体"/>
          <w:b w:val="0"/>
          <w:bCs/>
          <w:color w:val="auto"/>
          <w:kern w:val="0"/>
          <w:sz w:val="27"/>
          <w:szCs w:val="27"/>
          <w:lang w:val="en-US" w:eastAsia="zh-CN"/>
        </w:rPr>
        <w:t>材料场内转运、吊车费、装卸费、辅材、机械费、安装费</w:t>
      </w:r>
      <w:r>
        <w:rPr>
          <w:rFonts w:hint="default" w:ascii="宋体" w:hAnsi="宋体" w:cs="宋体"/>
          <w:b w:val="0"/>
          <w:bCs/>
          <w:color w:val="auto"/>
          <w:kern w:val="0"/>
          <w:sz w:val="27"/>
          <w:szCs w:val="27"/>
          <w:lang w:val="en-US" w:eastAsia="zh-CN"/>
        </w:rPr>
        <w:t>等）</w:t>
      </w:r>
      <w:r>
        <w:rPr>
          <w:rFonts w:hint="eastAsia" w:ascii="宋体" w:hAnsi="宋体" w:cs="宋体"/>
          <w:b w:val="0"/>
          <w:bCs/>
          <w:color w:val="auto"/>
          <w:kern w:val="0"/>
          <w:sz w:val="27"/>
          <w:szCs w:val="27"/>
          <w:lang w:val="en-US" w:eastAsia="zh-CN"/>
        </w:rPr>
        <w:t>结算以实际工程量*单价。</w:t>
      </w:r>
    </w:p>
    <w:p>
      <w:pPr>
        <w:pStyle w:val="3"/>
        <w:rPr>
          <w:rFonts w:hint="eastAsia" w:ascii="仿宋" w:hAnsi="仿宋" w:eastAsia="仿宋" w:cs="仿宋"/>
          <w:b/>
          <w:bCs/>
          <w:sz w:val="32"/>
          <w:szCs w:val="32"/>
          <w:vertAlign w:val="baseline"/>
          <w:lang w:val="en-US" w:eastAsia="zh-CN"/>
        </w:rPr>
      </w:pPr>
      <w:r>
        <w:rPr>
          <w:rFonts w:hint="eastAsia" w:ascii="仿宋" w:hAnsi="仿宋" w:cs="仿宋"/>
          <w:b/>
          <w:bCs/>
          <w:sz w:val="32"/>
          <w:szCs w:val="32"/>
          <w:vertAlign w:val="baseline"/>
          <w:lang w:val="en-US" w:eastAsia="zh-CN"/>
        </w:rPr>
        <w:t>付款方式：</w:t>
      </w:r>
      <w:r>
        <w:rPr>
          <w:rFonts w:hint="eastAsia" w:ascii="仿宋" w:hAnsi="仿宋" w:eastAsia="仿宋" w:cs="仿宋"/>
          <w:b/>
          <w:bCs/>
          <w:sz w:val="32"/>
          <w:szCs w:val="32"/>
          <w:vertAlign w:val="baseline"/>
          <w:lang w:val="en-US" w:eastAsia="zh-CN"/>
        </w:rPr>
        <w:t>货到并验收合格后付</w:t>
      </w:r>
      <w:r>
        <w:rPr>
          <w:rFonts w:hint="eastAsia" w:ascii="仿宋" w:hAnsi="仿宋" w:cs="仿宋"/>
          <w:b/>
          <w:bCs/>
          <w:sz w:val="32"/>
          <w:szCs w:val="32"/>
          <w:vertAlign w:val="baseline"/>
          <w:lang w:val="en-US" w:eastAsia="zh-CN"/>
        </w:rPr>
        <w:t>6</w:t>
      </w:r>
      <w:r>
        <w:rPr>
          <w:rFonts w:hint="eastAsia" w:ascii="仿宋" w:hAnsi="仿宋" w:eastAsia="仿宋" w:cs="仿宋"/>
          <w:b/>
          <w:bCs/>
          <w:sz w:val="32"/>
          <w:szCs w:val="32"/>
          <w:vertAlign w:val="baseline"/>
          <w:lang w:val="en-US" w:eastAsia="zh-CN"/>
        </w:rPr>
        <w:t>0%，安装完成并验收合格付至95%，余5%质保期</w:t>
      </w:r>
      <w:r>
        <w:rPr>
          <w:rFonts w:hint="eastAsia" w:ascii="仿宋" w:hAnsi="仿宋" w:cs="仿宋"/>
          <w:b/>
          <w:bCs/>
          <w:sz w:val="32"/>
          <w:szCs w:val="32"/>
          <w:vertAlign w:val="baseline"/>
          <w:lang w:val="en-US" w:eastAsia="zh-CN"/>
        </w:rPr>
        <w:t>（质保期1年）后</w:t>
      </w:r>
      <w:r>
        <w:rPr>
          <w:rFonts w:hint="eastAsia" w:ascii="仿宋" w:hAnsi="仿宋" w:eastAsia="仿宋" w:cs="仿宋"/>
          <w:b/>
          <w:bCs/>
          <w:sz w:val="32"/>
          <w:szCs w:val="32"/>
          <w:vertAlign w:val="baseline"/>
          <w:lang w:val="en-US" w:eastAsia="zh-CN"/>
        </w:rPr>
        <w:t>付清。</w:t>
      </w:r>
    </w:p>
    <w:p>
      <w:pPr>
        <w:pStyle w:val="3"/>
        <w:rPr>
          <w:rFonts w:hint="eastAsia" w:ascii="宋体" w:hAnsi="宋体" w:cs="宋体"/>
          <w:b/>
          <w:bCs/>
          <w:kern w:val="0"/>
          <w:sz w:val="27"/>
          <w:szCs w:val="27"/>
          <w:lang w:val="en-US" w:eastAsia="zh-CN"/>
        </w:rPr>
      </w:pPr>
      <w:r>
        <w:rPr>
          <w:rFonts w:hint="eastAsia" w:ascii="仿宋" w:hAnsi="仿宋" w:cs="仿宋"/>
          <w:b/>
          <w:bCs/>
          <w:sz w:val="32"/>
          <w:szCs w:val="32"/>
          <w:vertAlign w:val="baseline"/>
          <w:lang w:val="en-US" w:eastAsia="zh-CN"/>
        </w:rPr>
        <w:t>注：本项目质保期为一年。</w:t>
      </w:r>
    </w:p>
    <w:p>
      <w:pPr>
        <w:pStyle w:val="3"/>
        <w:rPr>
          <w:rFonts w:hint="eastAsia" w:ascii="宋体" w:hAnsi="宋体" w:cs="宋体"/>
          <w:b/>
          <w:bCs/>
          <w:kern w:val="0"/>
          <w:sz w:val="27"/>
          <w:szCs w:val="27"/>
          <w:lang w:val="en-US" w:eastAsia="zh-CN"/>
        </w:rPr>
      </w:pPr>
    </w:p>
    <w:p>
      <w:pPr>
        <w:pStyle w:val="2"/>
        <w:spacing w:line="240" w:lineRule="auto"/>
        <w:jc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报价单</w:t>
      </w:r>
    </w:p>
    <w:tbl>
      <w:tblPr>
        <w:tblStyle w:val="5"/>
        <w:tblW w:w="10124" w:type="dxa"/>
        <w:tblInd w:w="-4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9"/>
        <w:gridCol w:w="930"/>
        <w:gridCol w:w="765"/>
        <w:gridCol w:w="765"/>
        <w:gridCol w:w="1142"/>
        <w:gridCol w:w="1620"/>
        <w:gridCol w:w="42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1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总价合计</w:t>
            </w:r>
          </w:p>
        </w:tc>
        <w:tc>
          <w:tcPr>
            <w:tcW w:w="42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备注材料规格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0124" w:type="dxa"/>
            <w:gridSpan w:val="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麻州滨江新区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路名牌标志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1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2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标牌版面1500*450*3mm*2块，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喷绘反光膜超强级（双面）0.96m2，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主杆φ75*4.5*2000mm,                    底座法400*400*10mm,                                         基础锚板400*400*5mm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0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人行横道标志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1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2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标牌版面三角形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0.8m*0.8m*3mm，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贴0.64平方米一级反光膜，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主杆φ89*4*2700mm,                 底座法300*300*20mm,                                      预埋件M20*849mm*4支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5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禁令三组合标志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1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2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标牌版面80cm*80cm*3.0mm*3块，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贴0.503m2*3反光膜，                                    主杆φ273*10*6500mm,                        横杆φ152*10*3109mm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φ152*10*563mm,                     底座法兰800*1200*20mm,                                           预埋件M30*1000mm*16支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单悬臂标志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2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标牌版面4.4*1.8m*3mm，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贴7.92平方米一级反光膜，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主杆φ325*14*7500mm ,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横杆φ180*10*5400mm*2根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φ180*10*410mm*2根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底座法兰1000*1000*20mm,                                             预埋件φ30*1500mm*12支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7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单悬臂标志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1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2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标牌版面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4.5m*3.5m*3.0mm，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贴15.75平方米一级反光膜，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主杆φ325*14*8350mm,                     横杆φ133*8*4948mm*3根,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φ133*8*705mm*3根,                   底座法兰800*1200*20mm,                                         预埋件1333mm*M30*8支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0124" w:type="dxa"/>
            <w:gridSpan w:val="7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阳光路、文清路、增坑路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1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合计总价</w:t>
            </w:r>
          </w:p>
        </w:tc>
        <w:tc>
          <w:tcPr>
            <w:tcW w:w="42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备注材料规格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0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悬臂式F杆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2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标牌版面4.5m*3.5m*3.0mm厚，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IV类反光膜，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主杆Φ273mm*14mm*8.5m,                     横杆Φ133mm*8mm*4.5m*3根,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底座法兰60cm*60cm*14mm,                                         预埋件M30*0.9m*4支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M30*1.6m*4支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8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Y型双悬臂式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2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标牌版面80cm*80cm*3.0mm厚*6块，贴3M超工程级反光膜，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主杆Φ159mm*8.0mm*6.2m,                  横杆Φ89mm*6.0mm*4.5m,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横杆Φ89mm*6.0mm*3.0m,                   底座法兰50cm*50cm*20mm,                                      预埋件M30*1000mm*16支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Y型单悬臂式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2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标牌版面80cm*80cm*3.0mm厚*3块，贴3M超工程级反光膜，                                    主杆Φ165mm*6.0mm*6.0m,                        横杆Φ89mm*4.0mm*4m,                     底座法兰50cm*50cm*16mm,                                           预埋件M20mm*0.87m*12支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单立柱式人行道牌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1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2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标牌版面80cm*0.3mm厚*2块，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贴一级反光膜，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主杆Φ89mm*4mm*3.55m ,                  底座法兰30cm*30cm*14mm,                                             预埋件M20*0.7m*4支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警示桩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2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主杆Φ114mm*4.0mm*1.5，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底座法兰25cm*25cm*12mm,                                      反光膜 ：400mm*200mm 三级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膨胀螺栓：M16*150mm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</w:trPr>
        <w:tc>
          <w:tcPr>
            <w:tcW w:w="1012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台商工业园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组合标志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2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标牌版面圆形φ600*3.0*2mm，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贴0.282m2*2反光膜，                                    主杆φ114*5*4000mm,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底座法兰300*300*10mm,                                      预埋件M20*700mm*4支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组合标志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2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标牌版面圆形φ600*3.0mm*3块，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贴0.282m2*3反光膜，                                    主杆φ159*6*5400mm,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弯杆φ76-133*4*5000mm,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节点杆φ133*4*160mm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底座法兰360*360*14mm,                                           预埋件M24*700mm*4支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人行横道标志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2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标牌版面正方形0.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m*0.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m*3mm，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贴0.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平方米一级反光膜，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主杆φ114*5*2800mm,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底座法兰300*300*10mm,                                      预埋件M20*700mm*4支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单悬臂标志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2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标牌版面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m*3mm，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贴10.08平方米一级反光膜，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主杆φ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*14*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00mm ,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横杆φ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*5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00mm*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φ1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底座法兰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*20mm,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预埋件φ30*1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00mm*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支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单悬臂标志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2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标牌版面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m*3.0mm，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贴4.45平方米一级反光膜，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主杆φ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*14*8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0mm,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横杆φ133*8*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mm*3根,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φ133*8*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mm*3根,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底座法兰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*20mm,                                         预埋件φ30*1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00mm*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支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单悬臂标志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2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标牌版面3.6*1.2m*3mm，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贴4.32平方米一级反光膜，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主杆φ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*14*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00mm ,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横杆φ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*4000mm*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φ1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底座法兰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*20mm,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预埋件φ30*1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00mm*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支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5851" w:type="dxa"/>
            <w:gridSpan w:val="6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合计(含税）:</w:t>
            </w:r>
          </w:p>
        </w:tc>
        <w:tc>
          <w:tcPr>
            <w:tcW w:w="4273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0124" w:type="dxa"/>
            <w:gridSpan w:val="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税率（必填）：增值税专用发票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税率：          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3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3"/>
        <w:ind w:left="0" w:leftChars="0" w:firstLine="0" w:firstLineChars="0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both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我公司已在报价前已充分进行了现场踏勘、测量、风险评估及工期提前等所有风险，按项目现场图纸设计要求提交以上报价。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报价公司或个人（盖章/签字）：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560" w:firstLineChars="8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联系电话：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二〇二一年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A6C4DE"/>
    <w:multiLevelType w:val="singleLevel"/>
    <w:tmpl w:val="5DA6C4D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33DEE"/>
    <w:rsid w:val="08302899"/>
    <w:rsid w:val="0B4B1A12"/>
    <w:rsid w:val="0F052098"/>
    <w:rsid w:val="0FC569C5"/>
    <w:rsid w:val="12883EB1"/>
    <w:rsid w:val="142C396E"/>
    <w:rsid w:val="1C35026D"/>
    <w:rsid w:val="1D9428D1"/>
    <w:rsid w:val="254B16B3"/>
    <w:rsid w:val="26113599"/>
    <w:rsid w:val="2D89296C"/>
    <w:rsid w:val="2E267892"/>
    <w:rsid w:val="2E3A0B53"/>
    <w:rsid w:val="35D40D51"/>
    <w:rsid w:val="39C30733"/>
    <w:rsid w:val="3C530D29"/>
    <w:rsid w:val="3CE6684E"/>
    <w:rsid w:val="40CB615C"/>
    <w:rsid w:val="52F8403C"/>
    <w:rsid w:val="54900FEC"/>
    <w:rsid w:val="5E37469F"/>
    <w:rsid w:val="5F3F3403"/>
    <w:rsid w:val="61F77FF4"/>
    <w:rsid w:val="63B72BEC"/>
    <w:rsid w:val="652C6907"/>
    <w:rsid w:val="68495AA8"/>
    <w:rsid w:val="6B685B63"/>
    <w:rsid w:val="6D7C276D"/>
    <w:rsid w:val="78795A0F"/>
    <w:rsid w:val="79677D78"/>
    <w:rsid w:val="7DA45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/>
      <w:ind w:left="420" w:leftChars="200"/>
    </w:pPr>
    <w:rPr>
      <w:rFonts w:eastAsia="宋体" w:cs="Times New Roman"/>
      <w:sz w:val="21"/>
    </w:r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NONE</cp:lastModifiedBy>
  <cp:lastPrinted>2021-04-06T07:05:00Z</cp:lastPrinted>
  <dcterms:modified xsi:type="dcterms:W3CDTF">2021-06-04T01:33:29Z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F4546B10D07B4B30ABE92590996F8637</vt:lpwstr>
  </property>
</Properties>
</file>